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6E701" w14:textId="4C875364" w:rsidR="00825BBE" w:rsidRPr="00A57800" w:rsidRDefault="00825BBE" w:rsidP="00825BBE">
      <w:pPr>
        <w:pStyle w:val="Kop2"/>
        <w:rPr>
          <w:rFonts w:ascii="Segoe UI" w:hAnsi="Segoe UI" w:cs="Segoe UI"/>
          <w:sz w:val="24"/>
          <w:szCs w:val="24"/>
          <w:lang w:val="en-GB"/>
        </w:rPr>
      </w:pPr>
      <w:bookmarkStart w:id="0" w:name="_Toc10650154"/>
      <w:r w:rsidRPr="00A57800">
        <w:rPr>
          <w:rFonts w:ascii="Segoe UI" w:hAnsi="Segoe UI" w:cs="Segoe UI"/>
          <w:sz w:val="24"/>
          <w:szCs w:val="24"/>
          <w:lang w:val="en-GB"/>
        </w:rPr>
        <w:t>MRI protocol</w:t>
      </w:r>
      <w:bookmarkEnd w:id="0"/>
    </w:p>
    <w:p w14:paraId="6C2DECCF" w14:textId="63D5523E" w:rsidR="00825BBE" w:rsidRPr="0011634C" w:rsidRDefault="00825BBE" w:rsidP="00825BBE">
      <w:pPr>
        <w:pStyle w:val="Default"/>
        <w:rPr>
          <w:rFonts w:ascii="Segoe UI" w:hAnsi="Segoe UI" w:cs="Segoe UI"/>
          <w:sz w:val="22"/>
          <w:szCs w:val="22"/>
          <w:lang w:val="en-GB"/>
        </w:rPr>
      </w:pPr>
      <w:r w:rsidRPr="0011634C">
        <w:rPr>
          <w:rFonts w:ascii="Segoe UI" w:hAnsi="Segoe UI" w:cs="Segoe UI"/>
          <w:b/>
          <w:bCs/>
          <w:sz w:val="22"/>
          <w:szCs w:val="22"/>
          <w:lang w:val="en-GB"/>
        </w:rPr>
        <w:t xml:space="preserve">CMR ARVC/PLN protocol on 1.5 Tesla (Philips </w:t>
      </w:r>
      <w:r w:rsidR="00412C7A">
        <w:rPr>
          <w:rFonts w:ascii="Segoe UI" w:hAnsi="Segoe UI" w:cs="Segoe UI"/>
          <w:b/>
          <w:bCs/>
          <w:sz w:val="22"/>
          <w:szCs w:val="22"/>
          <w:lang w:val="en-GB"/>
        </w:rPr>
        <w:t>or comparable</w:t>
      </w:r>
      <w:r w:rsidR="00325755">
        <w:rPr>
          <w:rFonts w:ascii="Segoe UI" w:hAnsi="Segoe UI" w:cs="Segoe UI"/>
          <w:b/>
          <w:bCs/>
          <w:sz w:val="22"/>
          <w:szCs w:val="22"/>
          <w:lang w:val="en-GB"/>
        </w:rPr>
        <w:t xml:space="preserve"> </w:t>
      </w:r>
      <w:r w:rsidR="00412C7A">
        <w:rPr>
          <w:rFonts w:ascii="Segoe UI" w:hAnsi="Segoe UI" w:cs="Segoe UI"/>
          <w:b/>
          <w:bCs/>
          <w:sz w:val="22"/>
          <w:szCs w:val="22"/>
          <w:lang w:val="en-GB"/>
        </w:rPr>
        <w:t>scanners</w:t>
      </w:r>
      <w:r w:rsidRPr="0011634C">
        <w:rPr>
          <w:rFonts w:ascii="Segoe UI" w:hAnsi="Segoe UI" w:cs="Segoe UI"/>
          <w:b/>
          <w:bCs/>
          <w:sz w:val="22"/>
          <w:szCs w:val="22"/>
          <w:lang w:val="en-GB"/>
        </w:rPr>
        <w:t xml:space="preserve">) </w:t>
      </w:r>
    </w:p>
    <w:p w14:paraId="38E2B1AB"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UMC Utrecht, Radiology department Last version: 2-7-‘18 Version 46.0 </w:t>
      </w:r>
    </w:p>
    <w:p w14:paraId="6BC6B952"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 </w:t>
      </w:r>
    </w:p>
    <w:p w14:paraId="69004980"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b/>
          <w:bCs/>
          <w:sz w:val="22"/>
          <w:szCs w:val="22"/>
          <w:lang w:val="en-GB"/>
        </w:rPr>
        <w:t xml:space="preserve">Scanned Sequences </w:t>
      </w:r>
    </w:p>
    <w:p w14:paraId="4B109A60"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1. Survey for determination of the cardiac position – Balanced Fast Field Echo (BFFE) – expiration </w:t>
      </w:r>
    </w:p>
    <w:p w14:paraId="647CA593" w14:textId="77777777" w:rsidR="00825BBE" w:rsidRPr="0011634C" w:rsidRDefault="00825BBE" w:rsidP="00825BBE">
      <w:pPr>
        <w:pStyle w:val="Default"/>
        <w:rPr>
          <w:rFonts w:ascii="Segoe UI" w:hAnsi="Segoe UI" w:cs="Segoe UI"/>
          <w:sz w:val="22"/>
          <w:szCs w:val="22"/>
          <w:lang w:val="en-GB"/>
        </w:rPr>
      </w:pPr>
    </w:p>
    <w:p w14:paraId="56FF3DC6"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2. t T1 weighted Black Blood </w:t>
      </w:r>
    </w:p>
    <w:p w14:paraId="18F1BA29"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Plan on coronal plane </w:t>
      </w:r>
    </w:p>
    <w:p w14:paraId="1CE8EE1E" w14:textId="77777777" w:rsidR="00825BBE" w:rsidRPr="0011634C" w:rsidRDefault="00825BBE" w:rsidP="00825BBE">
      <w:pPr>
        <w:pStyle w:val="Default"/>
        <w:rPr>
          <w:rFonts w:ascii="Segoe UI" w:hAnsi="Segoe UI" w:cs="Segoe UI"/>
          <w:sz w:val="22"/>
          <w:szCs w:val="22"/>
          <w:lang w:val="en-GB"/>
        </w:rPr>
      </w:pPr>
    </w:p>
    <w:p w14:paraId="0C7F7996"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3. Balanced Turbo Field Echo (BTFE/RETR) 2 chamber left </w:t>
      </w:r>
    </w:p>
    <w:p w14:paraId="116815EF"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Cine images of the 2 chamber view </w:t>
      </w:r>
    </w:p>
    <w:p w14:paraId="611E2C44"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Plan parallel to the septum, in the middle of the mitral valve </w:t>
      </w:r>
    </w:p>
    <w:p w14:paraId="2F03B616" w14:textId="77777777" w:rsidR="00825BBE" w:rsidRPr="0011634C" w:rsidRDefault="00825BBE" w:rsidP="00825BBE">
      <w:pPr>
        <w:pStyle w:val="Default"/>
        <w:rPr>
          <w:rFonts w:ascii="Segoe UI" w:hAnsi="Segoe UI" w:cs="Segoe UI"/>
          <w:sz w:val="22"/>
          <w:szCs w:val="22"/>
          <w:lang w:val="en-GB"/>
        </w:rPr>
      </w:pPr>
    </w:p>
    <w:p w14:paraId="5D95209E"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4. BTFE/RETR short axis </w:t>
      </w:r>
    </w:p>
    <w:p w14:paraId="3D11272A"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Plan perpendicular to the 2 chamber left view, about 1/3 to the apex </w:t>
      </w:r>
    </w:p>
    <w:p w14:paraId="3C6D44E1" w14:textId="77777777" w:rsidR="00825BBE" w:rsidRPr="0011634C" w:rsidRDefault="00825BBE" w:rsidP="00825BBE">
      <w:pPr>
        <w:pStyle w:val="Default"/>
        <w:rPr>
          <w:rFonts w:ascii="Segoe UI" w:hAnsi="Segoe UI" w:cs="Segoe UI"/>
          <w:sz w:val="22"/>
          <w:szCs w:val="22"/>
          <w:lang w:val="en-GB"/>
        </w:rPr>
      </w:pPr>
    </w:p>
    <w:p w14:paraId="561840F6"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5. BTFE/RETR 4 chamber 50 phases </w:t>
      </w:r>
    </w:p>
    <w:p w14:paraId="7B80FAE0"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Cine images of the 4 chamber view: plan on the short axis </w:t>
      </w:r>
    </w:p>
    <w:p w14:paraId="46F8523D" w14:textId="77777777" w:rsidR="00825BBE" w:rsidRPr="0011634C" w:rsidRDefault="00825BBE" w:rsidP="00825BBE">
      <w:pPr>
        <w:pStyle w:val="Default"/>
        <w:rPr>
          <w:rFonts w:ascii="Segoe UI" w:hAnsi="Segoe UI" w:cs="Segoe UI"/>
          <w:sz w:val="22"/>
          <w:szCs w:val="22"/>
          <w:lang w:val="en-GB"/>
        </w:rPr>
      </w:pPr>
    </w:p>
    <w:p w14:paraId="1E255797" w14:textId="4A8DE2F9"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6. Native T1 mapping in short axis (3 slices) (MOLLI sequence) </w:t>
      </w:r>
    </w:p>
    <w:p w14:paraId="199E0B35" w14:textId="3D5207BA" w:rsidR="00825BBE"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Three slices of the short axis: between mitral valve and apex. Three times in one breath hold. </w:t>
      </w:r>
    </w:p>
    <w:p w14:paraId="0EFF4B75" w14:textId="5748CF6C" w:rsidR="00BC309B" w:rsidRPr="004520AF" w:rsidRDefault="004520AF" w:rsidP="00BC309B">
      <w:pPr>
        <w:rPr>
          <w:rFonts w:cs="Segoe UI"/>
          <w:lang w:val="en-GB"/>
        </w:rPr>
      </w:pPr>
      <w:r w:rsidRPr="00325755">
        <w:rPr>
          <w:rFonts w:cs="Segoe UI"/>
          <w:u w:val="single"/>
          <w:lang w:val="en-GB"/>
        </w:rPr>
        <w:t>Optional</w:t>
      </w:r>
      <w:r>
        <w:rPr>
          <w:rFonts w:cs="Segoe UI"/>
          <w:lang w:val="en-GB"/>
        </w:rPr>
        <w:t xml:space="preserve">: </w:t>
      </w:r>
      <w:r>
        <w:rPr>
          <w:rFonts w:cs="Segoe UI"/>
        </w:rPr>
        <w:t>A h</w:t>
      </w:r>
      <w:r w:rsidR="00BC309B" w:rsidRPr="004520AF">
        <w:rPr>
          <w:rFonts w:cs="Segoe UI"/>
        </w:rPr>
        <w:t xml:space="preserve">ematocrit </w:t>
      </w:r>
      <w:r>
        <w:rPr>
          <w:rFonts w:cs="Segoe UI"/>
        </w:rPr>
        <w:t xml:space="preserve">value </w:t>
      </w:r>
      <w:r w:rsidRPr="004520AF">
        <w:rPr>
          <w:rFonts w:cs="Segoe UI"/>
        </w:rPr>
        <w:t>may be used</w:t>
      </w:r>
      <w:r w:rsidR="00BC309B" w:rsidRPr="004520AF">
        <w:rPr>
          <w:rFonts w:cs="Segoe UI"/>
        </w:rPr>
        <w:t xml:space="preserve"> for the calculation of the extracellular volume from the T1 mapping sequence. It is important that the blood draw for determination of the hematocrit value should be performed on the same day of the CMR. </w:t>
      </w:r>
    </w:p>
    <w:p w14:paraId="5F20B171" w14:textId="09C0F33D" w:rsidR="00825BBE" w:rsidRPr="0011634C" w:rsidRDefault="00825BBE" w:rsidP="00825BBE">
      <w:pPr>
        <w:pStyle w:val="Default"/>
        <w:rPr>
          <w:rFonts w:ascii="Segoe UI" w:hAnsi="Segoe UI" w:cs="Segoe UI"/>
          <w:sz w:val="22"/>
          <w:szCs w:val="22"/>
          <w:lang w:val="en-GB"/>
        </w:rPr>
      </w:pPr>
      <w:r w:rsidRPr="0011634C">
        <w:rPr>
          <w:rFonts w:ascii="Segoe UI" w:hAnsi="Segoe UI" w:cs="Segoe UI"/>
          <w:i/>
          <w:iCs/>
          <w:sz w:val="22"/>
          <w:szCs w:val="22"/>
          <w:lang w:val="en-GB"/>
        </w:rPr>
        <w:t xml:space="preserve">Administer a double dose of contrast (0.2 cc gadovist/kg) for the late enhancement images </w:t>
      </w:r>
    </w:p>
    <w:p w14:paraId="3F77DA95" w14:textId="77777777" w:rsidR="00825BBE" w:rsidRPr="0011634C" w:rsidRDefault="00825BBE" w:rsidP="00825BBE">
      <w:pPr>
        <w:pStyle w:val="Default"/>
        <w:rPr>
          <w:rFonts w:ascii="Segoe UI" w:hAnsi="Segoe UI" w:cs="Segoe UI"/>
          <w:sz w:val="22"/>
          <w:szCs w:val="22"/>
          <w:lang w:val="en-GB"/>
        </w:rPr>
      </w:pPr>
    </w:p>
    <w:p w14:paraId="044416F1"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7. 3D whole heart breath hold </w:t>
      </w:r>
    </w:p>
    <w:p w14:paraId="4330DBB1"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Transversal non-angulated image of the whole heart </w:t>
      </w:r>
    </w:p>
    <w:p w14:paraId="74095999" w14:textId="77777777" w:rsidR="00825BBE" w:rsidRPr="0011634C" w:rsidRDefault="00825BBE" w:rsidP="00825BBE">
      <w:pPr>
        <w:pStyle w:val="Default"/>
        <w:rPr>
          <w:rFonts w:ascii="Segoe UI" w:hAnsi="Segoe UI" w:cs="Segoe UI"/>
          <w:sz w:val="22"/>
          <w:szCs w:val="22"/>
          <w:lang w:val="en-GB"/>
        </w:rPr>
      </w:pPr>
    </w:p>
    <w:p w14:paraId="4468DB5C"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8. BTFE/RETR short axis view </w:t>
      </w:r>
    </w:p>
    <w:p w14:paraId="05B42BE5"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Functional images of the short axis, parallel to mitral valve </w:t>
      </w:r>
    </w:p>
    <w:p w14:paraId="6C04B101"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Between mitral valve and apex ±12-15 slices </w:t>
      </w:r>
    </w:p>
    <w:p w14:paraId="0B0751C7"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Always check on the end diastolic phase </w:t>
      </w:r>
    </w:p>
    <w:p w14:paraId="25BF29C3" w14:textId="77777777" w:rsidR="00825BBE" w:rsidRPr="0011634C" w:rsidRDefault="00825BBE" w:rsidP="00825BBE">
      <w:pPr>
        <w:pStyle w:val="Default"/>
        <w:rPr>
          <w:rFonts w:ascii="Segoe UI" w:hAnsi="Segoe UI" w:cs="Segoe UI"/>
          <w:sz w:val="22"/>
          <w:szCs w:val="22"/>
          <w:lang w:val="en-GB"/>
        </w:rPr>
      </w:pPr>
    </w:p>
    <w:p w14:paraId="32D8EDAD"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9. BTFE/RETR left ventricular outflow tract (LVOT) view </w:t>
      </w:r>
    </w:p>
    <w:p w14:paraId="4722CA08"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Cine images of the LVOT, angulate through the mitral- and aortic valve </w:t>
      </w:r>
    </w:p>
    <w:p w14:paraId="31B1D5F6" w14:textId="77777777" w:rsidR="00825BBE" w:rsidRPr="0011634C" w:rsidRDefault="00825BBE" w:rsidP="00825BBE">
      <w:pPr>
        <w:pStyle w:val="Default"/>
        <w:rPr>
          <w:rFonts w:ascii="Segoe UI" w:hAnsi="Segoe UI" w:cs="Segoe UI"/>
          <w:sz w:val="22"/>
          <w:szCs w:val="22"/>
          <w:lang w:val="en-GB"/>
        </w:rPr>
      </w:pPr>
    </w:p>
    <w:p w14:paraId="1CAD79FD"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10. BTFE/RETR 2 chamber right view </w:t>
      </w:r>
    </w:p>
    <w:p w14:paraId="462D93A9"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Plan on the 4 chamber view, through the tricuspid valve and parallel to the septum. </w:t>
      </w:r>
    </w:p>
    <w:p w14:paraId="5D868F70"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It is important that the tricuspid valve is clearly visible. </w:t>
      </w:r>
    </w:p>
    <w:p w14:paraId="0E6A1A15" w14:textId="77777777" w:rsidR="00825BBE" w:rsidRPr="0011634C" w:rsidRDefault="00825BBE" w:rsidP="00825BBE">
      <w:pPr>
        <w:pStyle w:val="Default"/>
        <w:rPr>
          <w:rFonts w:ascii="Segoe UI" w:hAnsi="Segoe UI" w:cs="Segoe UI"/>
          <w:sz w:val="22"/>
          <w:szCs w:val="22"/>
          <w:lang w:val="en-GB"/>
        </w:rPr>
      </w:pPr>
    </w:p>
    <w:p w14:paraId="0E399BC0"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11. BFFE/RETR Right Ventricular Outflow Tract (RVOT) </w:t>
      </w:r>
    </w:p>
    <w:p w14:paraId="5318C2FB"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Cines of the RVOT. These are sagittal views through the RVOT </w:t>
      </w:r>
    </w:p>
    <w:p w14:paraId="586C06C1" w14:textId="77777777" w:rsidR="00825BBE" w:rsidRPr="0011634C" w:rsidRDefault="00825BBE" w:rsidP="00825BBE">
      <w:pPr>
        <w:pStyle w:val="Default"/>
        <w:rPr>
          <w:rFonts w:ascii="Segoe UI" w:hAnsi="Segoe UI" w:cs="Segoe UI"/>
          <w:sz w:val="22"/>
          <w:szCs w:val="22"/>
          <w:lang w:val="en-GB"/>
        </w:rPr>
      </w:pPr>
      <w:bookmarkStart w:id="1" w:name="_GoBack"/>
      <w:bookmarkEnd w:id="1"/>
    </w:p>
    <w:p w14:paraId="77FCF3CB"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12. Look Locker 2 beats </w:t>
      </w:r>
    </w:p>
    <w:p w14:paraId="34671817"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Determine the optimal inversion time (=highest blood/muscle contrast) </w:t>
      </w:r>
    </w:p>
    <w:p w14:paraId="72140923"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Use the inversion delay table and use these values for the 3D short axis views </w:t>
      </w:r>
    </w:p>
    <w:p w14:paraId="05AF7B4E"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Add +85 and use this value for the 2D Phase-Sensitive Inversion Recovery (PSIR) images. </w:t>
      </w:r>
    </w:p>
    <w:p w14:paraId="434BF1B4" w14:textId="77777777" w:rsidR="00825BBE" w:rsidRPr="0011634C" w:rsidRDefault="00825BBE" w:rsidP="00825BBE">
      <w:pPr>
        <w:pStyle w:val="Default"/>
        <w:rPr>
          <w:rFonts w:ascii="Segoe UI" w:hAnsi="Segoe UI" w:cs="Segoe UI"/>
          <w:sz w:val="22"/>
          <w:szCs w:val="22"/>
          <w:lang w:val="en-GB"/>
        </w:rPr>
      </w:pPr>
    </w:p>
    <w:p w14:paraId="381A0EEB"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13. Viability 2D 4 chamber </w:t>
      </w:r>
    </w:p>
    <w:p w14:paraId="53846D31" w14:textId="77777777" w:rsidR="00825BBE" w:rsidRPr="0011634C" w:rsidRDefault="00825BBE" w:rsidP="00825BBE">
      <w:pPr>
        <w:pStyle w:val="Default"/>
        <w:rPr>
          <w:rFonts w:ascii="Segoe UI" w:hAnsi="Segoe UI" w:cs="Segoe UI"/>
          <w:sz w:val="22"/>
          <w:szCs w:val="22"/>
          <w:lang w:val="en-GB"/>
        </w:rPr>
      </w:pPr>
    </w:p>
    <w:p w14:paraId="5ABB0DF5"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14. Multiple 2D slices (M2D)/ 4 chamber PSIR </w:t>
      </w:r>
    </w:p>
    <w:p w14:paraId="55135FDF"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Viability of 4 chamber </w:t>
      </w:r>
    </w:p>
    <w:p w14:paraId="1A5DD2BC" w14:textId="77777777" w:rsidR="00825BBE" w:rsidRPr="0011634C" w:rsidRDefault="00825BBE" w:rsidP="00825BBE">
      <w:pPr>
        <w:pStyle w:val="Default"/>
        <w:rPr>
          <w:rFonts w:ascii="Segoe UI" w:hAnsi="Segoe UI" w:cs="Segoe UI"/>
          <w:sz w:val="22"/>
          <w:szCs w:val="22"/>
          <w:lang w:val="en-GB"/>
        </w:rPr>
      </w:pPr>
    </w:p>
    <w:p w14:paraId="6351CF1E"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15. M2D/short axis PSIR </w:t>
      </w:r>
    </w:p>
    <w:p w14:paraId="54839B52"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Viability of the short axis view, number is the same as the number of slices used for the cine short axis images </w:t>
      </w:r>
    </w:p>
    <w:p w14:paraId="1C6A3949" w14:textId="77777777" w:rsidR="00825BBE" w:rsidRPr="0011634C" w:rsidRDefault="00825BBE" w:rsidP="00825BBE">
      <w:pPr>
        <w:pStyle w:val="Default"/>
        <w:rPr>
          <w:rFonts w:ascii="Segoe UI" w:hAnsi="Segoe UI" w:cs="Segoe UI"/>
          <w:sz w:val="22"/>
          <w:szCs w:val="22"/>
          <w:lang w:val="en-GB"/>
        </w:rPr>
      </w:pPr>
    </w:p>
    <w:p w14:paraId="57EA886E"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16. M2D/RVOT PSIR </w:t>
      </w:r>
    </w:p>
    <w:p w14:paraId="5B80D686"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Viability of RVOT </w:t>
      </w:r>
    </w:p>
    <w:p w14:paraId="322467D5" w14:textId="77777777" w:rsidR="00825BBE" w:rsidRPr="0011634C" w:rsidRDefault="00825BBE" w:rsidP="00825BBE">
      <w:pPr>
        <w:pStyle w:val="Default"/>
        <w:rPr>
          <w:rFonts w:ascii="Segoe UI" w:hAnsi="Segoe UI" w:cs="Segoe UI"/>
          <w:sz w:val="22"/>
          <w:szCs w:val="22"/>
          <w:lang w:val="en-GB"/>
        </w:rPr>
      </w:pPr>
    </w:p>
    <w:p w14:paraId="78B2C877"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17. M2D/ 2 chamber right PSIR </w:t>
      </w:r>
    </w:p>
    <w:p w14:paraId="7DC16BBF"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Viability of the 2 chamber right view </w:t>
      </w:r>
    </w:p>
    <w:p w14:paraId="004F7B99"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i/>
          <w:iCs/>
          <w:sz w:val="22"/>
          <w:szCs w:val="22"/>
          <w:lang w:val="en-GB"/>
        </w:rPr>
        <w:t xml:space="preserve">Make sure that at least 15 minutes have past between contrast injection and T1 mapping sequence </w:t>
      </w:r>
    </w:p>
    <w:p w14:paraId="39B026B4" w14:textId="77777777" w:rsidR="00825BBE" w:rsidRPr="0011634C" w:rsidRDefault="00825BBE" w:rsidP="00825BBE">
      <w:pPr>
        <w:pStyle w:val="Default"/>
        <w:rPr>
          <w:rFonts w:ascii="Segoe UI" w:hAnsi="Segoe UI" w:cs="Segoe UI"/>
          <w:sz w:val="22"/>
          <w:szCs w:val="22"/>
          <w:lang w:val="en-GB"/>
        </w:rPr>
      </w:pPr>
    </w:p>
    <w:p w14:paraId="04453DC7"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18. T1 mapping enhanced short axis, 3 slices </w:t>
      </w:r>
    </w:p>
    <w:p w14:paraId="6F5FC0AD" w14:textId="77777777" w:rsidR="00825BBE" w:rsidRPr="0011634C" w:rsidRDefault="00825BBE" w:rsidP="00825BBE">
      <w:pPr>
        <w:pStyle w:val="Default"/>
        <w:rPr>
          <w:rFonts w:ascii="Segoe UI" w:hAnsi="Segoe UI" w:cs="Segoe UI"/>
          <w:sz w:val="22"/>
          <w:szCs w:val="22"/>
          <w:lang w:val="en-GB"/>
        </w:rPr>
      </w:pPr>
      <w:r w:rsidRPr="0011634C">
        <w:rPr>
          <w:rFonts w:ascii="Segoe UI" w:hAnsi="Segoe UI" w:cs="Segoe UI"/>
          <w:sz w:val="22"/>
          <w:szCs w:val="22"/>
          <w:lang w:val="en-GB"/>
        </w:rPr>
        <w:t xml:space="preserve">Three slices of the short axis view conform native T1 mapping. </w:t>
      </w:r>
    </w:p>
    <w:p w14:paraId="35C99671" w14:textId="77777777" w:rsidR="00825BBE" w:rsidRPr="00A57800" w:rsidRDefault="00825BBE" w:rsidP="00825BBE">
      <w:pPr>
        <w:pStyle w:val="Default"/>
        <w:rPr>
          <w:rFonts w:ascii="Segoe UI" w:hAnsi="Segoe UI" w:cs="Segoe UI"/>
          <w:b/>
          <w:bCs/>
          <w:sz w:val="22"/>
          <w:szCs w:val="22"/>
          <w:lang w:val="en-GB"/>
        </w:rPr>
      </w:pPr>
    </w:p>
    <w:p w14:paraId="1BF35BFB" w14:textId="713D4929" w:rsidR="00BC309B" w:rsidRPr="0083736E" w:rsidRDefault="00BC309B">
      <w:pPr>
        <w:rPr>
          <w:rFonts w:eastAsiaTheme="majorEastAsia" w:cs="Segoe UI"/>
          <w:b/>
          <w:bCs/>
          <w:color w:val="4F81BD" w:themeColor="accent1"/>
          <w:sz w:val="24"/>
          <w:szCs w:val="24"/>
          <w:u w:color="000000"/>
          <w:bdr w:val="nil"/>
          <w:lang w:val="en-GB" w:eastAsia="nl-NL"/>
        </w:rPr>
      </w:pPr>
    </w:p>
    <w:sectPr w:rsidR="00BC309B" w:rsidRPr="0083736E" w:rsidSect="00B159BA">
      <w:headerReference w:type="default" r:id="rId8"/>
      <w:footerReference w:type="default" r:id="rId9"/>
      <w:pgSz w:w="1190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2E4FD" w14:textId="77777777" w:rsidR="00192F9C" w:rsidRDefault="00192F9C" w:rsidP="0024188E">
      <w:pPr>
        <w:spacing w:after="0" w:line="240" w:lineRule="auto"/>
      </w:pPr>
      <w:r>
        <w:separator/>
      </w:r>
    </w:p>
  </w:endnote>
  <w:endnote w:type="continuationSeparator" w:id="0">
    <w:p w14:paraId="360A184D" w14:textId="77777777" w:rsidR="00192F9C" w:rsidRDefault="00192F9C" w:rsidP="00241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A7334" w14:textId="38110EDC" w:rsidR="00192F9C" w:rsidRPr="001B7D89" w:rsidRDefault="00192F9C" w:rsidP="00074EB1">
    <w:pPr>
      <w:pStyle w:val="Voettekst"/>
      <w:tabs>
        <w:tab w:val="clear" w:pos="9072"/>
        <w:tab w:val="right" w:pos="9046"/>
      </w:tabs>
      <w:rPr>
        <w:rFonts w:ascii="Segoe UI" w:hAnsi="Segoe UI" w:cs="Segoe UI"/>
      </w:rPr>
    </w:pPr>
    <w:r w:rsidRPr="001B7D89">
      <w:rPr>
        <w:rFonts w:ascii="Segoe UI" w:hAnsi="Segoe UI" w:cs="Segoe UI"/>
      </w:rPr>
      <w:tab/>
    </w:r>
    <w:r w:rsidRPr="001B7D89">
      <w:rPr>
        <w:rFonts w:ascii="Segoe UI" w:hAnsi="Segoe UI" w:cs="Segoe UI"/>
      </w:rPr>
      <w:tab/>
    </w:r>
    <w:r w:rsidRPr="001B7D89">
      <w:rPr>
        <w:rFonts w:ascii="Segoe UI" w:hAnsi="Segoe UI" w:cs="Segoe UI"/>
        <w:sz w:val="20"/>
        <w:szCs w:val="20"/>
      </w:rPr>
      <w:fldChar w:fldCharType="begin"/>
    </w:r>
    <w:r w:rsidRPr="001B7D89">
      <w:rPr>
        <w:rFonts w:ascii="Segoe UI" w:hAnsi="Segoe UI" w:cs="Segoe UI"/>
        <w:sz w:val="20"/>
        <w:szCs w:val="20"/>
      </w:rPr>
      <w:instrText xml:space="preserve"> PAGE </w:instrText>
    </w:r>
    <w:r w:rsidRPr="001B7D89">
      <w:rPr>
        <w:rFonts w:ascii="Segoe UI" w:hAnsi="Segoe UI" w:cs="Segoe UI"/>
        <w:sz w:val="20"/>
        <w:szCs w:val="20"/>
      </w:rPr>
      <w:fldChar w:fldCharType="separate"/>
    </w:r>
    <w:r w:rsidR="003E6539">
      <w:rPr>
        <w:rFonts w:ascii="Segoe UI" w:hAnsi="Segoe UI" w:cs="Segoe UI"/>
        <w:noProof/>
        <w:sz w:val="20"/>
        <w:szCs w:val="20"/>
      </w:rPr>
      <w:t>2</w:t>
    </w:r>
    <w:r w:rsidRPr="001B7D89">
      <w:rPr>
        <w:rFonts w:ascii="Segoe UI" w:hAnsi="Segoe UI" w:cs="Segoe UI"/>
        <w:sz w:val="20"/>
        <w:szCs w:val="20"/>
      </w:rPr>
      <w:fldChar w:fldCharType="end"/>
    </w:r>
  </w:p>
  <w:p w14:paraId="5662655C" w14:textId="77777777" w:rsidR="00192F9C" w:rsidRDefault="00192F9C">
    <w:pPr>
      <w:pStyle w:val="Voettekst"/>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C18D8" w14:textId="77777777" w:rsidR="00192F9C" w:rsidRDefault="00192F9C" w:rsidP="0024188E">
      <w:pPr>
        <w:spacing w:after="0" w:line="240" w:lineRule="auto"/>
      </w:pPr>
      <w:r>
        <w:separator/>
      </w:r>
    </w:p>
  </w:footnote>
  <w:footnote w:type="continuationSeparator" w:id="0">
    <w:p w14:paraId="4588A797" w14:textId="77777777" w:rsidR="00192F9C" w:rsidRDefault="00192F9C" w:rsidP="00241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FFC08" w14:textId="5DCD838C" w:rsidR="00192F9C" w:rsidRPr="0016297F" w:rsidRDefault="00B159BA" w:rsidP="00B159BA">
    <w:pPr>
      <w:pStyle w:val="Koptekst"/>
      <w:tabs>
        <w:tab w:val="clear" w:pos="9072"/>
        <w:tab w:val="left" w:pos="1140"/>
        <w:tab w:val="right" w:pos="9066"/>
      </w:tabs>
      <w:rPr>
        <w:rFonts w:ascii="Segoe UI" w:hAnsi="Segoe UI" w:cs="Segoe UI"/>
        <w:bCs/>
        <w:color w:val="808080" w:themeColor="background1" w:themeShade="80"/>
        <w:sz w:val="16"/>
        <w:szCs w:val="16"/>
        <w:u w:color="4F81BD"/>
        <w:lang w:val="en-GB"/>
      </w:rPr>
    </w:pPr>
    <w:r>
      <w:rPr>
        <w:noProof/>
        <w:lang w:val="en-US"/>
      </w:rPr>
      <w:drawing>
        <wp:anchor distT="0" distB="0" distL="114300" distR="114300" simplePos="0" relativeHeight="251659264" behindDoc="0" locked="0" layoutInCell="1" allowOverlap="1" wp14:anchorId="6D017930" wp14:editId="2DD2E4AD">
          <wp:simplePos x="0" y="0"/>
          <wp:positionH relativeFrom="margin">
            <wp:posOffset>0</wp:posOffset>
          </wp:positionH>
          <wp:positionV relativeFrom="margin">
            <wp:posOffset>-617220</wp:posOffset>
          </wp:positionV>
          <wp:extent cx="1166495" cy="509270"/>
          <wp:effectExtent l="0" t="0" r="0" b="508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ang.jpg"/>
                  <pic:cNvPicPr/>
                </pic:nvPicPr>
                <pic:blipFill>
                  <a:blip r:embed="rId1">
                    <a:extLst>
                      <a:ext uri="{28A0092B-C50C-407E-A947-70E740481C1C}">
                        <a14:useLocalDpi xmlns:a14="http://schemas.microsoft.com/office/drawing/2010/main" val="0"/>
                      </a:ext>
                    </a:extLst>
                  </a:blip>
                  <a:stretch>
                    <a:fillRect/>
                  </a:stretch>
                </pic:blipFill>
                <pic:spPr>
                  <a:xfrm>
                    <a:off x="0" y="0"/>
                    <a:ext cx="1166495" cy="509270"/>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bCs/>
        <w:color w:val="808080" w:themeColor="background1" w:themeShade="80"/>
        <w:sz w:val="16"/>
        <w:szCs w:val="16"/>
        <w:u w:color="4F81BD"/>
        <w:lang w:val="en-GB"/>
      </w:rPr>
      <w:tab/>
    </w:r>
    <w:r>
      <w:rPr>
        <w:rFonts w:ascii="Segoe UI" w:hAnsi="Segoe UI" w:cs="Segoe UI"/>
        <w:bCs/>
        <w:color w:val="808080" w:themeColor="background1" w:themeShade="80"/>
        <w:sz w:val="16"/>
        <w:szCs w:val="16"/>
        <w:u w:color="4F81BD"/>
        <w:lang w:val="en-GB"/>
      </w:rPr>
      <w:tab/>
    </w:r>
    <w:r>
      <w:rPr>
        <w:rFonts w:ascii="Segoe UI" w:hAnsi="Segoe UI" w:cs="Segoe UI"/>
        <w:bCs/>
        <w:color w:val="808080" w:themeColor="background1" w:themeShade="80"/>
        <w:sz w:val="16"/>
        <w:szCs w:val="16"/>
        <w:u w:color="4F81BD"/>
        <w:lang w:val="en-GB"/>
      </w:rPr>
      <w:tab/>
    </w:r>
    <w:r w:rsidR="003E6539">
      <w:rPr>
        <w:rFonts w:ascii="Segoe UI" w:hAnsi="Segoe UI" w:cs="Segoe UI"/>
        <w:bCs/>
        <w:color w:val="808080" w:themeColor="background1" w:themeShade="80"/>
        <w:sz w:val="16"/>
        <w:szCs w:val="16"/>
        <w:u w:color="4F81BD"/>
        <w:lang w:val="en-GB"/>
      </w:rPr>
      <w:t>MRI</w:t>
    </w:r>
    <w:r w:rsidR="00F71A3D">
      <w:rPr>
        <w:rFonts w:ascii="Segoe UI" w:hAnsi="Segoe UI" w:cs="Segoe UI"/>
        <w:bCs/>
        <w:color w:val="808080" w:themeColor="background1" w:themeShade="80"/>
        <w:sz w:val="16"/>
        <w:szCs w:val="16"/>
        <w:u w:color="4F81BD"/>
        <w:lang w:val="en-GB"/>
      </w:rPr>
      <w:t xml:space="preserve"> </w:t>
    </w:r>
    <w:r w:rsidR="008F654C">
      <w:rPr>
        <w:rFonts w:ascii="Segoe UI" w:hAnsi="Segoe UI" w:cs="Segoe UI"/>
        <w:bCs/>
        <w:color w:val="808080" w:themeColor="background1" w:themeShade="80"/>
        <w:sz w:val="16"/>
        <w:szCs w:val="16"/>
        <w:u w:color="4F81BD"/>
        <w:lang w:val="en-GB"/>
      </w:rPr>
      <w:t>of</w:t>
    </w:r>
    <w:r w:rsidR="00192F9C" w:rsidRPr="0016297F">
      <w:rPr>
        <w:rFonts w:ascii="Segoe UI" w:hAnsi="Segoe UI" w:cs="Segoe UI"/>
        <w:bCs/>
        <w:color w:val="808080" w:themeColor="background1" w:themeShade="80"/>
        <w:sz w:val="16"/>
        <w:szCs w:val="16"/>
        <w:u w:color="4F81BD"/>
        <w:lang w:val="en-GB"/>
      </w:rPr>
      <w:t xml:space="preserve"> PLN mutation carriers</w:t>
    </w:r>
  </w:p>
  <w:p w14:paraId="686D400D" w14:textId="76D0C57B" w:rsidR="00192F9C" w:rsidRPr="0016297F" w:rsidRDefault="00192F9C" w:rsidP="0016297F">
    <w:pPr>
      <w:pStyle w:val="Koptekst"/>
      <w:jc w:val="right"/>
      <w:rPr>
        <w:color w:val="808080" w:themeColor="background1" w:themeShade="80"/>
        <w:lang w:val="en-GB"/>
      </w:rPr>
    </w:pPr>
    <w:r w:rsidRPr="0016297F">
      <w:rPr>
        <w:rFonts w:ascii="Segoe UI" w:hAnsi="Segoe UI" w:cs="Segoe UI"/>
        <w:bCs/>
        <w:color w:val="808080" w:themeColor="background1" w:themeShade="80"/>
        <w:sz w:val="16"/>
        <w:szCs w:val="16"/>
        <w:u w:color="4F81BD"/>
        <w:lang w:val="en-GB"/>
      </w:rPr>
      <w:t>Version 1.0 (21-5-2019)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95C"/>
    <w:multiLevelType w:val="hybridMultilevel"/>
    <w:tmpl w:val="99060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AD7E19"/>
    <w:multiLevelType w:val="hybridMultilevel"/>
    <w:tmpl w:val="D7A8EE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DD4256"/>
    <w:multiLevelType w:val="hybridMultilevel"/>
    <w:tmpl w:val="4470F7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383CBF"/>
    <w:multiLevelType w:val="hybridMultilevel"/>
    <w:tmpl w:val="3C14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260B2"/>
    <w:multiLevelType w:val="hybridMultilevel"/>
    <w:tmpl w:val="93E41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AC5965"/>
    <w:multiLevelType w:val="hybridMultilevel"/>
    <w:tmpl w:val="A4FA9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B215A"/>
    <w:multiLevelType w:val="hybridMultilevel"/>
    <w:tmpl w:val="AF3282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EC19AF"/>
    <w:multiLevelType w:val="hybridMultilevel"/>
    <w:tmpl w:val="F9B0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831A3"/>
    <w:multiLevelType w:val="hybridMultilevel"/>
    <w:tmpl w:val="063458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620BC8"/>
    <w:multiLevelType w:val="hybridMultilevel"/>
    <w:tmpl w:val="4E5C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56B9C"/>
    <w:multiLevelType w:val="hybridMultilevel"/>
    <w:tmpl w:val="3E6A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2307D"/>
    <w:multiLevelType w:val="hybridMultilevel"/>
    <w:tmpl w:val="B310DE6C"/>
    <w:lvl w:ilvl="0" w:tplc="EF30B9D4">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06164D"/>
    <w:multiLevelType w:val="hybridMultilevel"/>
    <w:tmpl w:val="6AC44D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50F6004"/>
    <w:multiLevelType w:val="hybridMultilevel"/>
    <w:tmpl w:val="D73EDDB6"/>
    <w:lvl w:ilvl="0" w:tplc="04130001">
      <w:start w:val="1"/>
      <w:numFmt w:val="bullet"/>
      <w:lvlText w:val=""/>
      <w:lvlJc w:val="left"/>
      <w:pPr>
        <w:ind w:left="360" w:hanging="360"/>
      </w:pPr>
      <w:rPr>
        <w:rFonts w:ascii="Symbol" w:hAnsi="Symbol" w:hint="default"/>
        <w:b/>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8A87E80"/>
    <w:multiLevelType w:val="hybridMultilevel"/>
    <w:tmpl w:val="700C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96236"/>
    <w:multiLevelType w:val="hybridMultilevel"/>
    <w:tmpl w:val="1E22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A0211"/>
    <w:multiLevelType w:val="hybridMultilevel"/>
    <w:tmpl w:val="F612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926B9"/>
    <w:multiLevelType w:val="hybridMultilevel"/>
    <w:tmpl w:val="70D6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B3F33"/>
    <w:multiLevelType w:val="hybridMultilevel"/>
    <w:tmpl w:val="A7A4AB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F4D4CF5"/>
    <w:multiLevelType w:val="hybridMultilevel"/>
    <w:tmpl w:val="175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D73B5"/>
    <w:multiLevelType w:val="hybridMultilevel"/>
    <w:tmpl w:val="73B0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B2389"/>
    <w:multiLevelType w:val="hybridMultilevel"/>
    <w:tmpl w:val="F768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9F31DB"/>
    <w:multiLevelType w:val="hybridMultilevel"/>
    <w:tmpl w:val="B082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6139F0"/>
    <w:multiLevelType w:val="hybridMultilevel"/>
    <w:tmpl w:val="D8FA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C33072"/>
    <w:multiLevelType w:val="hybridMultilevel"/>
    <w:tmpl w:val="63F2B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E853404"/>
    <w:multiLevelType w:val="hybridMultilevel"/>
    <w:tmpl w:val="87B6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671EE6"/>
    <w:multiLevelType w:val="hybridMultilevel"/>
    <w:tmpl w:val="36247A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9033984"/>
    <w:multiLevelType w:val="hybridMultilevel"/>
    <w:tmpl w:val="6B14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4D3690"/>
    <w:multiLevelType w:val="hybridMultilevel"/>
    <w:tmpl w:val="DA80FE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DE1059D"/>
    <w:multiLevelType w:val="hybridMultilevel"/>
    <w:tmpl w:val="0970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B5A81"/>
    <w:multiLevelType w:val="hybridMultilevel"/>
    <w:tmpl w:val="8DFA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E0733"/>
    <w:multiLevelType w:val="hybridMultilevel"/>
    <w:tmpl w:val="82AA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514A7E"/>
    <w:multiLevelType w:val="hybridMultilevel"/>
    <w:tmpl w:val="F0F8E0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726275E"/>
    <w:multiLevelType w:val="hybridMultilevel"/>
    <w:tmpl w:val="E3245A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81D2C26"/>
    <w:multiLevelType w:val="hybridMultilevel"/>
    <w:tmpl w:val="DE4EE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894780B"/>
    <w:multiLevelType w:val="hybridMultilevel"/>
    <w:tmpl w:val="1BDC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C52C4"/>
    <w:multiLevelType w:val="hybridMultilevel"/>
    <w:tmpl w:val="A2F4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93173B"/>
    <w:multiLevelType w:val="hybridMultilevel"/>
    <w:tmpl w:val="E74E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9A725D"/>
    <w:multiLevelType w:val="hybridMultilevel"/>
    <w:tmpl w:val="5348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A2183F"/>
    <w:multiLevelType w:val="hybridMultilevel"/>
    <w:tmpl w:val="BC9431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3CF4AEB"/>
    <w:multiLevelType w:val="hybridMultilevel"/>
    <w:tmpl w:val="A640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262017"/>
    <w:multiLevelType w:val="hybridMultilevel"/>
    <w:tmpl w:val="7E8AF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6BC77EE"/>
    <w:multiLevelType w:val="hybridMultilevel"/>
    <w:tmpl w:val="6A44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BA0A59"/>
    <w:multiLevelType w:val="hybridMultilevel"/>
    <w:tmpl w:val="73527D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9790CB7"/>
    <w:multiLevelType w:val="hybridMultilevel"/>
    <w:tmpl w:val="0BB8D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148177B"/>
    <w:multiLevelType w:val="hybridMultilevel"/>
    <w:tmpl w:val="EE000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5225EBB"/>
    <w:multiLevelType w:val="hybridMultilevel"/>
    <w:tmpl w:val="DB7CD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0B2B6F"/>
    <w:multiLevelType w:val="hybridMultilevel"/>
    <w:tmpl w:val="6D1E88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83A259E"/>
    <w:multiLevelType w:val="hybridMultilevel"/>
    <w:tmpl w:val="B95A3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B90300"/>
    <w:multiLevelType w:val="hybridMultilevel"/>
    <w:tmpl w:val="AF04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0C7FF7"/>
    <w:multiLevelType w:val="hybridMultilevel"/>
    <w:tmpl w:val="BD7E3C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22"/>
  </w:num>
  <w:num w:numId="4">
    <w:abstractNumId w:val="19"/>
  </w:num>
  <w:num w:numId="5">
    <w:abstractNumId w:val="25"/>
  </w:num>
  <w:num w:numId="6">
    <w:abstractNumId w:val="42"/>
  </w:num>
  <w:num w:numId="7">
    <w:abstractNumId w:val="50"/>
  </w:num>
  <w:num w:numId="8">
    <w:abstractNumId w:val="2"/>
  </w:num>
  <w:num w:numId="9">
    <w:abstractNumId w:val="6"/>
  </w:num>
  <w:num w:numId="10">
    <w:abstractNumId w:val="24"/>
  </w:num>
  <w:num w:numId="11">
    <w:abstractNumId w:val="18"/>
  </w:num>
  <w:num w:numId="12">
    <w:abstractNumId w:val="28"/>
  </w:num>
  <w:num w:numId="13">
    <w:abstractNumId w:val="12"/>
  </w:num>
  <w:num w:numId="14">
    <w:abstractNumId w:val="26"/>
  </w:num>
  <w:num w:numId="15">
    <w:abstractNumId w:val="4"/>
  </w:num>
  <w:num w:numId="16">
    <w:abstractNumId w:val="41"/>
  </w:num>
  <w:num w:numId="17">
    <w:abstractNumId w:val="32"/>
  </w:num>
  <w:num w:numId="18">
    <w:abstractNumId w:val="43"/>
  </w:num>
  <w:num w:numId="19">
    <w:abstractNumId w:val="1"/>
  </w:num>
  <w:num w:numId="20">
    <w:abstractNumId w:val="33"/>
  </w:num>
  <w:num w:numId="21">
    <w:abstractNumId w:val="44"/>
  </w:num>
  <w:num w:numId="22">
    <w:abstractNumId w:val="8"/>
  </w:num>
  <w:num w:numId="23">
    <w:abstractNumId w:val="34"/>
  </w:num>
  <w:num w:numId="24">
    <w:abstractNumId w:val="45"/>
  </w:num>
  <w:num w:numId="25">
    <w:abstractNumId w:val="47"/>
  </w:num>
  <w:num w:numId="26">
    <w:abstractNumId w:val="21"/>
  </w:num>
  <w:num w:numId="27">
    <w:abstractNumId w:val="20"/>
  </w:num>
  <w:num w:numId="28">
    <w:abstractNumId w:val="16"/>
  </w:num>
  <w:num w:numId="29">
    <w:abstractNumId w:val="49"/>
  </w:num>
  <w:num w:numId="30">
    <w:abstractNumId w:val="35"/>
  </w:num>
  <w:num w:numId="31">
    <w:abstractNumId w:val="40"/>
  </w:num>
  <w:num w:numId="32">
    <w:abstractNumId w:val="46"/>
  </w:num>
  <w:num w:numId="33">
    <w:abstractNumId w:val="37"/>
  </w:num>
  <w:num w:numId="34">
    <w:abstractNumId w:val="23"/>
  </w:num>
  <w:num w:numId="35">
    <w:abstractNumId w:val="17"/>
  </w:num>
  <w:num w:numId="36">
    <w:abstractNumId w:val="36"/>
  </w:num>
  <w:num w:numId="37">
    <w:abstractNumId w:val="15"/>
  </w:num>
  <w:num w:numId="38">
    <w:abstractNumId w:val="3"/>
  </w:num>
  <w:num w:numId="39">
    <w:abstractNumId w:val="27"/>
  </w:num>
  <w:num w:numId="40">
    <w:abstractNumId w:val="38"/>
  </w:num>
  <w:num w:numId="41">
    <w:abstractNumId w:val="7"/>
  </w:num>
  <w:num w:numId="42">
    <w:abstractNumId w:val="30"/>
  </w:num>
  <w:num w:numId="43">
    <w:abstractNumId w:val="29"/>
  </w:num>
  <w:num w:numId="44">
    <w:abstractNumId w:val="48"/>
  </w:num>
  <w:num w:numId="45">
    <w:abstractNumId w:val="9"/>
  </w:num>
  <w:num w:numId="46">
    <w:abstractNumId w:val="14"/>
  </w:num>
  <w:num w:numId="47">
    <w:abstractNumId w:val="5"/>
  </w:num>
  <w:num w:numId="48">
    <w:abstractNumId w:val="10"/>
  </w:num>
  <w:num w:numId="49">
    <w:abstractNumId w:val="0"/>
  </w:num>
  <w:num w:numId="50">
    <w:abstractNumId w:val="39"/>
  </w:num>
  <w:num w:numId="51">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88E"/>
    <w:rsid w:val="00017A28"/>
    <w:rsid w:val="00074EB1"/>
    <w:rsid w:val="000A338F"/>
    <w:rsid w:val="000B2699"/>
    <w:rsid w:val="001073F1"/>
    <w:rsid w:val="0011634C"/>
    <w:rsid w:val="0012313A"/>
    <w:rsid w:val="00125A3D"/>
    <w:rsid w:val="001414F4"/>
    <w:rsid w:val="001503A9"/>
    <w:rsid w:val="0016297F"/>
    <w:rsid w:val="00173BC4"/>
    <w:rsid w:val="00192F9C"/>
    <w:rsid w:val="0024188E"/>
    <w:rsid w:val="0025435A"/>
    <w:rsid w:val="0025529F"/>
    <w:rsid w:val="002716BF"/>
    <w:rsid w:val="00281118"/>
    <w:rsid w:val="002D3C0C"/>
    <w:rsid w:val="00325755"/>
    <w:rsid w:val="003D0125"/>
    <w:rsid w:val="003E6539"/>
    <w:rsid w:val="00412C7A"/>
    <w:rsid w:val="00450CB1"/>
    <w:rsid w:val="004520AF"/>
    <w:rsid w:val="00455DC5"/>
    <w:rsid w:val="004B627A"/>
    <w:rsid w:val="00532B3F"/>
    <w:rsid w:val="005A140A"/>
    <w:rsid w:val="005F554B"/>
    <w:rsid w:val="006745E1"/>
    <w:rsid w:val="006A6572"/>
    <w:rsid w:val="006E4338"/>
    <w:rsid w:val="006F72E2"/>
    <w:rsid w:val="00716D51"/>
    <w:rsid w:val="00770D31"/>
    <w:rsid w:val="00773422"/>
    <w:rsid w:val="008006E5"/>
    <w:rsid w:val="0080294E"/>
    <w:rsid w:val="00825BBE"/>
    <w:rsid w:val="0083736E"/>
    <w:rsid w:val="008C58B2"/>
    <w:rsid w:val="008F654C"/>
    <w:rsid w:val="00964514"/>
    <w:rsid w:val="00993E23"/>
    <w:rsid w:val="009B7121"/>
    <w:rsid w:val="00A31FC3"/>
    <w:rsid w:val="00A57800"/>
    <w:rsid w:val="00A87B5B"/>
    <w:rsid w:val="00AF2818"/>
    <w:rsid w:val="00B0534B"/>
    <w:rsid w:val="00B159BA"/>
    <w:rsid w:val="00B55A9A"/>
    <w:rsid w:val="00B6234D"/>
    <w:rsid w:val="00BC309B"/>
    <w:rsid w:val="00BE0621"/>
    <w:rsid w:val="00BE3A03"/>
    <w:rsid w:val="00C02E04"/>
    <w:rsid w:val="00C41428"/>
    <w:rsid w:val="00CA1684"/>
    <w:rsid w:val="00CE5217"/>
    <w:rsid w:val="00D54A00"/>
    <w:rsid w:val="00D916B9"/>
    <w:rsid w:val="00DB6E51"/>
    <w:rsid w:val="00E11D37"/>
    <w:rsid w:val="00E24681"/>
    <w:rsid w:val="00F55B4F"/>
    <w:rsid w:val="00F71A3D"/>
    <w:rsid w:val="00F94174"/>
    <w:rsid w:val="00FB5955"/>
    <w:rsid w:val="00FF72F1"/>
    <w:rsid w:val="00FF7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F010037"/>
  <w15:docId w15:val="{0B5D4725-9CEC-45D6-AC93-3B6BD0A5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188E"/>
    <w:pPr>
      <w:keepNext/>
      <w:keepLines/>
      <w:pBdr>
        <w:top w:val="nil"/>
        <w:left w:val="nil"/>
        <w:bottom w:val="nil"/>
        <w:right w:val="nil"/>
        <w:between w:val="nil"/>
        <w:bar w:val="nil"/>
      </w:pBdr>
      <w:spacing w:before="480" w:after="0"/>
      <w:outlineLvl w:val="0"/>
    </w:pPr>
    <w:rPr>
      <w:rFonts w:asciiTheme="majorHAnsi" w:eastAsiaTheme="majorEastAsia" w:hAnsiTheme="majorHAnsi" w:cstheme="majorBidi"/>
      <w:b/>
      <w:bCs/>
      <w:color w:val="365F91" w:themeColor="accent1" w:themeShade="BF"/>
      <w:sz w:val="28"/>
      <w:szCs w:val="28"/>
      <w:u w:color="000000"/>
      <w:bdr w:val="nil"/>
      <w:lang w:val="nl-NL" w:eastAsia="nl-NL"/>
    </w:rPr>
  </w:style>
  <w:style w:type="paragraph" w:styleId="Kop2">
    <w:name w:val="heading 2"/>
    <w:basedOn w:val="Standaard"/>
    <w:next w:val="Standaard"/>
    <w:link w:val="Kop2Char"/>
    <w:uiPriority w:val="9"/>
    <w:unhideWhenUsed/>
    <w:qFormat/>
    <w:rsid w:val="0024188E"/>
    <w:pPr>
      <w:keepNext/>
      <w:keepLines/>
      <w:pBdr>
        <w:top w:val="nil"/>
        <w:left w:val="nil"/>
        <w:bottom w:val="nil"/>
        <w:right w:val="nil"/>
        <w:between w:val="nil"/>
        <w:bar w:val="nil"/>
      </w:pBdr>
      <w:spacing w:before="200" w:after="0"/>
      <w:outlineLvl w:val="1"/>
    </w:pPr>
    <w:rPr>
      <w:rFonts w:asciiTheme="majorHAnsi" w:eastAsiaTheme="majorEastAsia" w:hAnsiTheme="majorHAnsi" w:cstheme="majorBidi"/>
      <w:b/>
      <w:bCs/>
      <w:color w:val="4F81BD" w:themeColor="accent1"/>
      <w:sz w:val="26"/>
      <w:szCs w:val="26"/>
      <w:u w:color="000000"/>
      <w:bdr w:val="nil"/>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188E"/>
    <w:rPr>
      <w:rFonts w:asciiTheme="majorHAnsi" w:eastAsiaTheme="majorEastAsia" w:hAnsiTheme="majorHAnsi" w:cstheme="majorBidi"/>
      <w:b/>
      <w:bCs/>
      <w:color w:val="365F91" w:themeColor="accent1" w:themeShade="BF"/>
      <w:sz w:val="28"/>
      <w:szCs w:val="28"/>
      <w:u w:color="000000"/>
      <w:bdr w:val="nil"/>
      <w:lang w:val="nl-NL" w:eastAsia="nl-NL"/>
    </w:rPr>
  </w:style>
  <w:style w:type="character" w:customStyle="1" w:styleId="Kop2Char">
    <w:name w:val="Kop 2 Char"/>
    <w:basedOn w:val="Standaardalinea-lettertype"/>
    <w:link w:val="Kop2"/>
    <w:uiPriority w:val="9"/>
    <w:rsid w:val="0024188E"/>
    <w:rPr>
      <w:rFonts w:asciiTheme="majorHAnsi" w:eastAsiaTheme="majorEastAsia" w:hAnsiTheme="majorHAnsi" w:cstheme="majorBidi"/>
      <w:b/>
      <w:bCs/>
      <w:color w:val="4F81BD" w:themeColor="accent1"/>
      <w:sz w:val="26"/>
      <w:szCs w:val="26"/>
      <w:u w:color="000000"/>
      <w:bdr w:val="nil"/>
      <w:lang w:val="nl-NL" w:eastAsia="nl-NL"/>
    </w:rPr>
  </w:style>
  <w:style w:type="character" w:styleId="Hyperlink">
    <w:name w:val="Hyperlink"/>
    <w:uiPriority w:val="99"/>
    <w:rsid w:val="0024188E"/>
    <w:rPr>
      <w:u w:val="single"/>
    </w:rPr>
  </w:style>
  <w:style w:type="table" w:customStyle="1" w:styleId="TableNormal1">
    <w:name w:val="Table Normal1"/>
    <w:rsid w:val="0024188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nl-NL" w:eastAsia="nl-NL"/>
    </w:rPr>
    <w:tblPr>
      <w:tblInd w:w="0" w:type="dxa"/>
      <w:tblCellMar>
        <w:top w:w="0" w:type="dxa"/>
        <w:left w:w="0" w:type="dxa"/>
        <w:bottom w:w="0" w:type="dxa"/>
        <w:right w:w="0" w:type="dxa"/>
      </w:tblCellMar>
    </w:tblPr>
  </w:style>
  <w:style w:type="paragraph" w:styleId="Koptekst">
    <w:name w:val="header"/>
    <w:link w:val="KoptekstChar"/>
    <w:rsid w:val="0024188E"/>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val="nl-NL" w:eastAsia="nl-NL"/>
    </w:rPr>
  </w:style>
  <w:style w:type="character" w:customStyle="1" w:styleId="KoptekstChar">
    <w:name w:val="Koptekst Char"/>
    <w:basedOn w:val="Standaardalinea-lettertype"/>
    <w:link w:val="Koptekst"/>
    <w:rsid w:val="0024188E"/>
    <w:rPr>
      <w:rFonts w:ascii="Calibri" w:eastAsia="Calibri" w:hAnsi="Calibri" w:cs="Calibri"/>
      <w:color w:val="000000"/>
      <w:u w:color="000000"/>
      <w:bdr w:val="nil"/>
      <w:lang w:val="nl-NL" w:eastAsia="nl-NL"/>
    </w:rPr>
  </w:style>
  <w:style w:type="paragraph" w:styleId="Voettekst">
    <w:name w:val="footer"/>
    <w:link w:val="VoettekstChar"/>
    <w:uiPriority w:val="99"/>
    <w:rsid w:val="0024188E"/>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val="nl-NL" w:eastAsia="nl-NL"/>
    </w:rPr>
  </w:style>
  <w:style w:type="character" w:customStyle="1" w:styleId="VoettekstChar">
    <w:name w:val="Voettekst Char"/>
    <w:basedOn w:val="Standaardalinea-lettertype"/>
    <w:link w:val="Voettekst"/>
    <w:uiPriority w:val="99"/>
    <w:rsid w:val="0024188E"/>
    <w:rPr>
      <w:rFonts w:ascii="Calibri" w:eastAsia="Calibri" w:hAnsi="Calibri" w:cs="Calibri"/>
      <w:color w:val="000000"/>
      <w:u w:color="000000"/>
      <w:bdr w:val="nil"/>
      <w:lang w:val="nl-NL" w:eastAsia="nl-NL"/>
    </w:rPr>
  </w:style>
  <w:style w:type="paragraph" w:styleId="Lijstalinea">
    <w:name w:val="List Paragraph"/>
    <w:uiPriority w:val="34"/>
    <w:qFormat/>
    <w:rsid w:val="0024188E"/>
    <w:pPr>
      <w:pBdr>
        <w:top w:val="nil"/>
        <w:left w:val="nil"/>
        <w:bottom w:val="nil"/>
        <w:right w:val="nil"/>
        <w:between w:val="nil"/>
        <w:bar w:val="nil"/>
      </w:pBdr>
      <w:ind w:left="720"/>
    </w:pPr>
    <w:rPr>
      <w:rFonts w:ascii="Calibri" w:eastAsia="Calibri" w:hAnsi="Calibri" w:cs="Calibri"/>
      <w:color w:val="000000"/>
      <w:u w:color="000000"/>
      <w:bdr w:val="nil"/>
      <w:lang w:val="nl-NL" w:eastAsia="nl-NL"/>
    </w:rPr>
  </w:style>
  <w:style w:type="paragraph" w:styleId="Geenafstand">
    <w:name w:val="No Spacing"/>
    <w:uiPriority w:val="1"/>
    <w:qFormat/>
    <w:rsid w:val="0024188E"/>
    <w:pPr>
      <w:pBdr>
        <w:top w:val="nil"/>
        <w:left w:val="nil"/>
        <w:bottom w:val="nil"/>
        <w:right w:val="nil"/>
        <w:between w:val="nil"/>
        <w:bar w:val="nil"/>
      </w:pBdr>
      <w:spacing w:after="0" w:line="240" w:lineRule="auto"/>
    </w:pPr>
    <w:rPr>
      <w:rFonts w:ascii="Calibri" w:eastAsia="Calibri" w:hAnsi="Calibri" w:cs="Calibri"/>
      <w:color w:val="000000"/>
      <w:u w:color="000000"/>
      <w:bdr w:val="nil"/>
      <w:lang w:val="nl-NL" w:eastAsia="nl-NL"/>
    </w:rPr>
  </w:style>
  <w:style w:type="paragraph" w:styleId="Titel">
    <w:name w:val="Title"/>
    <w:basedOn w:val="Standaard"/>
    <w:next w:val="Standaard"/>
    <w:link w:val="TitelChar"/>
    <w:uiPriority w:val="10"/>
    <w:qFormat/>
    <w:rsid w:val="0024188E"/>
    <w:pPr>
      <w:pBdr>
        <w:top w:val="nil"/>
        <w:left w:val="nil"/>
        <w:bottom w:val="single" w:sz="8" w:space="4" w:color="4F81BD" w:themeColor="accent1"/>
        <w:right w:val="nil"/>
        <w:between w:val="nil"/>
        <w:bar w:val="nil"/>
      </w:pBdr>
      <w:spacing w:after="300" w:line="240" w:lineRule="auto"/>
      <w:contextualSpacing/>
    </w:pPr>
    <w:rPr>
      <w:rFonts w:asciiTheme="majorHAnsi" w:eastAsiaTheme="majorEastAsia" w:hAnsiTheme="majorHAnsi" w:cstheme="majorBidi"/>
      <w:color w:val="17365D" w:themeColor="text2" w:themeShade="BF"/>
      <w:spacing w:val="5"/>
      <w:kern w:val="28"/>
      <w:sz w:val="52"/>
      <w:szCs w:val="52"/>
      <w:u w:color="000000"/>
      <w:bdr w:val="nil"/>
      <w:lang w:val="nl-NL" w:eastAsia="nl-NL"/>
    </w:rPr>
  </w:style>
  <w:style w:type="character" w:customStyle="1" w:styleId="TitelChar">
    <w:name w:val="Titel Char"/>
    <w:basedOn w:val="Standaardalinea-lettertype"/>
    <w:link w:val="Titel"/>
    <w:uiPriority w:val="10"/>
    <w:rsid w:val="0024188E"/>
    <w:rPr>
      <w:rFonts w:asciiTheme="majorHAnsi" w:eastAsiaTheme="majorEastAsia" w:hAnsiTheme="majorHAnsi" w:cstheme="majorBidi"/>
      <w:color w:val="17365D" w:themeColor="text2" w:themeShade="BF"/>
      <w:spacing w:val="5"/>
      <w:kern w:val="28"/>
      <w:sz w:val="52"/>
      <w:szCs w:val="52"/>
      <w:u w:color="000000"/>
      <w:bdr w:val="nil"/>
      <w:lang w:val="nl-NL" w:eastAsia="nl-NL"/>
    </w:rPr>
  </w:style>
  <w:style w:type="paragraph" w:styleId="Ondertitel">
    <w:name w:val="Subtitle"/>
    <w:basedOn w:val="Standaard"/>
    <w:next w:val="Standaard"/>
    <w:link w:val="OndertitelChar"/>
    <w:uiPriority w:val="11"/>
    <w:qFormat/>
    <w:rsid w:val="0024188E"/>
    <w:pPr>
      <w:numPr>
        <w:ilvl w:val="1"/>
      </w:numPr>
      <w:pBdr>
        <w:top w:val="nil"/>
        <w:left w:val="nil"/>
        <w:bottom w:val="nil"/>
        <w:right w:val="nil"/>
        <w:between w:val="nil"/>
        <w:bar w:val="nil"/>
      </w:pBdr>
    </w:pPr>
    <w:rPr>
      <w:rFonts w:asciiTheme="majorHAnsi" w:eastAsiaTheme="majorEastAsia" w:hAnsiTheme="majorHAnsi" w:cstheme="majorBidi"/>
      <w:i/>
      <w:iCs/>
      <w:color w:val="4F81BD" w:themeColor="accent1"/>
      <w:spacing w:val="15"/>
      <w:sz w:val="24"/>
      <w:szCs w:val="24"/>
      <w:u w:color="000000"/>
      <w:bdr w:val="nil"/>
      <w:lang w:val="nl-NL" w:eastAsia="nl-NL"/>
    </w:rPr>
  </w:style>
  <w:style w:type="character" w:customStyle="1" w:styleId="OndertitelChar">
    <w:name w:val="Ondertitel Char"/>
    <w:basedOn w:val="Standaardalinea-lettertype"/>
    <w:link w:val="Ondertitel"/>
    <w:uiPriority w:val="11"/>
    <w:rsid w:val="0024188E"/>
    <w:rPr>
      <w:rFonts w:asciiTheme="majorHAnsi" w:eastAsiaTheme="majorEastAsia" w:hAnsiTheme="majorHAnsi" w:cstheme="majorBidi"/>
      <w:i/>
      <w:iCs/>
      <w:color w:val="4F81BD" w:themeColor="accent1"/>
      <w:spacing w:val="15"/>
      <w:sz w:val="24"/>
      <w:szCs w:val="24"/>
      <w:u w:color="000000"/>
      <w:bdr w:val="nil"/>
      <w:lang w:val="nl-NL" w:eastAsia="nl-NL"/>
    </w:rPr>
  </w:style>
  <w:style w:type="table" w:styleId="Lichtelijst-accent1">
    <w:name w:val="Light List Accent 1"/>
    <w:basedOn w:val="Standaardtabel"/>
    <w:uiPriority w:val="61"/>
    <w:rsid w:val="0024188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nl-NL" w:eastAsia="nl-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vaninhoudsopgave">
    <w:name w:val="TOC Heading"/>
    <w:basedOn w:val="Kop1"/>
    <w:next w:val="Standaard"/>
    <w:uiPriority w:val="39"/>
    <w:unhideWhenUsed/>
    <w:qFormat/>
    <w:rsid w:val="0024188E"/>
    <w:pPr>
      <w:pBdr>
        <w:top w:val="none" w:sz="0" w:space="0" w:color="auto"/>
        <w:left w:val="none" w:sz="0" w:space="0" w:color="auto"/>
        <w:bottom w:val="none" w:sz="0" w:space="0" w:color="auto"/>
        <w:right w:val="none" w:sz="0" w:space="0" w:color="auto"/>
        <w:between w:val="none" w:sz="0" w:space="0" w:color="auto"/>
        <w:bar w:val="none" w:sz="0" w:color="auto"/>
      </w:pBdr>
      <w:outlineLvl w:val="9"/>
    </w:pPr>
    <w:rPr>
      <w:bdr w:val="none" w:sz="0" w:space="0" w:color="auto"/>
    </w:rPr>
  </w:style>
  <w:style w:type="paragraph" w:styleId="Inhopg1">
    <w:name w:val="toc 1"/>
    <w:basedOn w:val="Standaard"/>
    <w:next w:val="Standaard"/>
    <w:autoRedefine/>
    <w:uiPriority w:val="39"/>
    <w:unhideWhenUsed/>
    <w:rsid w:val="0024188E"/>
    <w:pPr>
      <w:pBdr>
        <w:top w:val="nil"/>
        <w:left w:val="nil"/>
        <w:bottom w:val="nil"/>
        <w:right w:val="nil"/>
        <w:between w:val="nil"/>
        <w:bar w:val="nil"/>
      </w:pBdr>
      <w:spacing w:after="100"/>
    </w:pPr>
    <w:rPr>
      <w:rFonts w:ascii="Calibri" w:eastAsia="Calibri" w:hAnsi="Calibri" w:cs="Calibri"/>
      <w:color w:val="000000"/>
      <w:u w:color="000000"/>
      <w:bdr w:val="nil"/>
      <w:lang w:val="nl-NL" w:eastAsia="nl-NL"/>
    </w:rPr>
  </w:style>
  <w:style w:type="paragraph" w:styleId="Inhopg2">
    <w:name w:val="toc 2"/>
    <w:basedOn w:val="Standaard"/>
    <w:next w:val="Standaard"/>
    <w:autoRedefine/>
    <w:uiPriority w:val="39"/>
    <w:unhideWhenUsed/>
    <w:rsid w:val="0024188E"/>
    <w:pPr>
      <w:pBdr>
        <w:top w:val="nil"/>
        <w:left w:val="nil"/>
        <w:bottom w:val="nil"/>
        <w:right w:val="nil"/>
        <w:between w:val="nil"/>
        <w:bar w:val="nil"/>
      </w:pBdr>
      <w:spacing w:after="100"/>
      <w:ind w:left="220"/>
    </w:pPr>
    <w:rPr>
      <w:rFonts w:ascii="Calibri" w:eastAsia="Calibri" w:hAnsi="Calibri" w:cs="Calibri"/>
      <w:color w:val="000000"/>
      <w:u w:color="000000"/>
      <w:bdr w:val="nil"/>
      <w:lang w:val="nl-NL" w:eastAsia="nl-NL"/>
    </w:rPr>
  </w:style>
  <w:style w:type="paragraph" w:styleId="Ballontekst">
    <w:name w:val="Balloon Text"/>
    <w:basedOn w:val="Standaard"/>
    <w:link w:val="BallontekstChar"/>
    <w:uiPriority w:val="99"/>
    <w:semiHidden/>
    <w:unhideWhenUsed/>
    <w:rsid w:val="002418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4188E"/>
    <w:rPr>
      <w:rFonts w:ascii="Tahoma" w:hAnsi="Tahoma" w:cs="Tahoma"/>
      <w:sz w:val="16"/>
      <w:szCs w:val="16"/>
    </w:rPr>
  </w:style>
  <w:style w:type="table" w:styleId="Tabelraster">
    <w:name w:val="Table Grid"/>
    <w:basedOn w:val="Standaardtabel"/>
    <w:uiPriority w:val="39"/>
    <w:rsid w:val="00DB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
    <w:name w:val="Light List"/>
    <w:basedOn w:val="Standaardtabel"/>
    <w:uiPriority w:val="61"/>
    <w:rsid w:val="001231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Verwijzingopmerking">
    <w:name w:val="annotation reference"/>
    <w:basedOn w:val="Standaardalinea-lettertype"/>
    <w:uiPriority w:val="99"/>
    <w:semiHidden/>
    <w:unhideWhenUsed/>
    <w:rsid w:val="001414F4"/>
    <w:rPr>
      <w:sz w:val="16"/>
      <w:szCs w:val="16"/>
    </w:rPr>
  </w:style>
  <w:style w:type="paragraph" w:styleId="Tekstopmerking">
    <w:name w:val="annotation text"/>
    <w:basedOn w:val="Standaard"/>
    <w:link w:val="TekstopmerkingChar"/>
    <w:uiPriority w:val="99"/>
    <w:semiHidden/>
    <w:unhideWhenUsed/>
    <w:rsid w:val="001414F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414F4"/>
    <w:rPr>
      <w:sz w:val="20"/>
      <w:szCs w:val="20"/>
    </w:rPr>
  </w:style>
  <w:style w:type="paragraph" w:styleId="Onderwerpvanopmerking">
    <w:name w:val="annotation subject"/>
    <w:basedOn w:val="Tekstopmerking"/>
    <w:next w:val="Tekstopmerking"/>
    <w:link w:val="OnderwerpvanopmerkingChar"/>
    <w:uiPriority w:val="99"/>
    <w:semiHidden/>
    <w:unhideWhenUsed/>
    <w:rsid w:val="001414F4"/>
    <w:rPr>
      <w:b/>
      <w:bCs/>
    </w:rPr>
  </w:style>
  <w:style w:type="character" w:customStyle="1" w:styleId="OnderwerpvanopmerkingChar">
    <w:name w:val="Onderwerp van opmerking Char"/>
    <w:basedOn w:val="TekstopmerkingChar"/>
    <w:link w:val="Onderwerpvanopmerking"/>
    <w:uiPriority w:val="99"/>
    <w:semiHidden/>
    <w:rsid w:val="001414F4"/>
    <w:rPr>
      <w:b/>
      <w:bCs/>
      <w:sz w:val="20"/>
      <w:szCs w:val="20"/>
    </w:rPr>
  </w:style>
  <w:style w:type="paragraph" w:customStyle="1" w:styleId="Default">
    <w:name w:val="Default"/>
    <w:rsid w:val="00825BBE"/>
    <w:pPr>
      <w:autoSpaceDE w:val="0"/>
      <w:autoSpaceDN w:val="0"/>
      <w:adjustRightInd w:val="0"/>
      <w:spacing w:after="0" w:line="240" w:lineRule="auto"/>
    </w:pPr>
    <w:rPr>
      <w:rFonts w:ascii="Cambria" w:hAnsi="Cambria" w:cs="Cambria"/>
      <w:color w:val="000000"/>
      <w:sz w:val="24"/>
      <w:szCs w:val="24"/>
      <w:lang w:val="nl-NL"/>
    </w:rPr>
  </w:style>
  <w:style w:type="paragraph" w:styleId="Normaalweb">
    <w:name w:val="Normal (Web)"/>
    <w:basedOn w:val="Standaard"/>
    <w:uiPriority w:val="99"/>
    <w:unhideWhenUsed/>
    <w:rsid w:val="00825BBE"/>
    <w:pPr>
      <w:spacing w:before="100" w:beforeAutospacing="1" w:after="100" w:afterAutospacing="1" w:line="240" w:lineRule="auto"/>
    </w:pPr>
    <w:rPr>
      <w:rFonts w:ascii="Times New Roman" w:eastAsia="Times New Roman" w:hAnsi="Times New Roman" w:cs="Times New Roman"/>
      <w:sz w:val="24"/>
      <w:szCs w:val="24"/>
    </w:rPr>
  </w:style>
  <w:style w:type="character" w:styleId="Paginanummer">
    <w:name w:val="page number"/>
    <w:basedOn w:val="Standaardalinea-lettertype"/>
    <w:uiPriority w:val="99"/>
    <w:semiHidden/>
    <w:unhideWhenUsed/>
    <w:rsid w:val="00825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F1F2C-33E3-4F79-B4B3-91B27D1C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2279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Taha-2, K.</dc:creator>
  <cp:lastModifiedBy>Eelco Soeteman</cp:lastModifiedBy>
  <cp:revision>4</cp:revision>
  <dcterms:created xsi:type="dcterms:W3CDTF">2019-08-09T07:52:00Z</dcterms:created>
  <dcterms:modified xsi:type="dcterms:W3CDTF">2019-08-09T14:02:00Z</dcterms:modified>
</cp:coreProperties>
</file>