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0AE1" w14:textId="08F59CD9" w:rsidR="00E11D37" w:rsidRPr="00F86C7B" w:rsidRDefault="00825BBE" w:rsidP="00825BBE">
      <w:pPr>
        <w:pStyle w:val="Kop2"/>
        <w:rPr>
          <w:rFonts w:ascii="Segoe UI" w:hAnsi="Segoe UI" w:cs="Segoe UI"/>
          <w:sz w:val="24"/>
          <w:lang w:val="en-US"/>
        </w:rPr>
      </w:pPr>
      <w:bookmarkStart w:id="0" w:name="_Toc10650153"/>
      <w:bookmarkStart w:id="1" w:name="_GoBack"/>
      <w:r w:rsidRPr="00F86C7B">
        <w:rPr>
          <w:rFonts w:ascii="Segoe UI" w:hAnsi="Segoe UI" w:cs="Segoe UI"/>
          <w:sz w:val="24"/>
          <w:lang w:val="en-US"/>
        </w:rPr>
        <w:t>Echocardiography protocol</w:t>
      </w:r>
      <w:bookmarkEnd w:id="0"/>
    </w:p>
    <w:bookmarkEnd w:id="1"/>
    <w:p w14:paraId="7B089CFF" w14:textId="77777777" w:rsidR="00E24681" w:rsidRPr="004520AF" w:rsidRDefault="00825BBE" w:rsidP="00825BBE">
      <w:pPr>
        <w:rPr>
          <w:lang w:val="en-GB"/>
        </w:rPr>
      </w:pPr>
      <w:r w:rsidRPr="004520AF">
        <w:rPr>
          <w:lang w:val="en-GB"/>
        </w:rPr>
        <w:t>University Medical Center Utrecht, February 2019</w:t>
      </w:r>
    </w:p>
    <w:p w14:paraId="23FDC16B" w14:textId="26CE27EA" w:rsidR="00825BBE" w:rsidRPr="004520AF" w:rsidRDefault="00825BBE" w:rsidP="00825BBE">
      <w:pPr>
        <w:rPr>
          <w:lang w:val="en-GB"/>
        </w:rPr>
      </w:pPr>
      <w:r w:rsidRPr="004520AF">
        <w:rPr>
          <w:lang w:val="en-GB"/>
        </w:rPr>
        <w:t>Echocardiograms should preferably be acquired with a GE machine for standardization of strain analysis. Height and weight of the patient should be registered. All echocardiograms should go along with appropriate ECG recording. At least 3 cardiac cycles should be acquired per view. For patients with atrial fibrillation, at least 5 cardiac cycles should be acquired per view. Doppler recordings should be acquired during end-expiration.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825BBE" w14:paraId="0BF103C4" w14:textId="77777777" w:rsidTr="00074EB1">
        <w:tc>
          <w:tcPr>
            <w:tcW w:w="3510" w:type="dxa"/>
          </w:tcPr>
          <w:p w14:paraId="2888DAF7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Parasternal long-axis view</w:t>
            </w:r>
          </w:p>
        </w:tc>
        <w:tc>
          <w:tcPr>
            <w:tcW w:w="5529" w:type="dxa"/>
          </w:tcPr>
          <w:p w14:paraId="2544FE43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2D/M-Mode</w:t>
            </w:r>
          </w:p>
          <w:p w14:paraId="0FA4199B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MV/AV</w:t>
            </w:r>
          </w:p>
          <w:p w14:paraId="62DB2395" w14:textId="502A523D" w:rsidR="00825BBE" w:rsidRPr="004520AF" w:rsidRDefault="00825BBE" w:rsidP="00825BBE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focused on RVOT for measurement diameter</w:t>
            </w:r>
          </w:p>
        </w:tc>
      </w:tr>
      <w:tr w:rsidR="00825BBE" w14:paraId="52254EFA" w14:textId="77777777" w:rsidTr="00825BBE">
        <w:tc>
          <w:tcPr>
            <w:tcW w:w="3510" w:type="dxa"/>
            <w:tcBorders>
              <w:bottom w:val="single" w:sz="4" w:space="0" w:color="auto"/>
            </w:tcBorders>
          </w:tcPr>
          <w:p w14:paraId="36BEB23F" w14:textId="3CD1827A" w:rsidR="00825BBE" w:rsidRPr="004520AF" w:rsidRDefault="00825BBE" w:rsidP="00825BBE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Parasternal RV inflow view</w:t>
            </w:r>
          </w:p>
        </w:tc>
        <w:tc>
          <w:tcPr>
            <w:tcW w:w="5529" w:type="dxa"/>
          </w:tcPr>
          <w:p w14:paraId="4CC8E5D1" w14:textId="049A83B5" w:rsidR="00825BBE" w:rsidRPr="004520AF" w:rsidRDefault="00825BBE" w:rsidP="00825BBE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</w:t>
            </w:r>
            <w:r w:rsidR="00E24681" w:rsidRPr="004520AF"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  <w:r w:rsidR="00E24681" w:rsidRPr="004520AF">
              <w:rPr>
                <w:rFonts w:cs="Segoe UI"/>
                <w:b/>
                <w:sz w:val="20"/>
                <w:szCs w:val="20"/>
                <w:lang w:val="en-GB"/>
              </w:rPr>
              <w:t>(figure 1A)</w:t>
            </w:r>
          </w:p>
        </w:tc>
      </w:tr>
      <w:tr w:rsidR="00825BBE" w14:paraId="68B037C7" w14:textId="77777777" w:rsidTr="00825BBE">
        <w:trPr>
          <w:trHeight w:val="312"/>
        </w:trPr>
        <w:tc>
          <w:tcPr>
            <w:tcW w:w="3510" w:type="dxa"/>
            <w:tcBorders>
              <w:bottom w:val="single" w:sz="4" w:space="0" w:color="D9D9D9" w:themeColor="background1" w:themeShade="D9"/>
            </w:tcBorders>
          </w:tcPr>
          <w:p w14:paraId="382A3A9D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Parasternal short-axis view</w:t>
            </w:r>
          </w:p>
        </w:tc>
        <w:tc>
          <w:tcPr>
            <w:tcW w:w="5529" w:type="dxa"/>
            <w:tcBorders>
              <w:bottom w:val="single" w:sz="4" w:space="0" w:color="D9D9D9" w:themeColor="background1" w:themeShade="D9"/>
            </w:tcBorders>
          </w:tcPr>
          <w:p w14:paraId="47176CA8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825BBE" w14:paraId="3F8B63F2" w14:textId="77777777" w:rsidTr="00825BBE">
        <w:trPr>
          <w:trHeight w:val="217"/>
        </w:trPr>
        <w:tc>
          <w:tcPr>
            <w:tcW w:w="35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58C9D3" w14:textId="77777777" w:rsidR="00825BBE" w:rsidRPr="004520AF" w:rsidRDefault="00825BBE" w:rsidP="00074EB1">
            <w:pPr>
              <w:ind w:left="720"/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level</w:t>
            </w:r>
          </w:p>
        </w:tc>
        <w:tc>
          <w:tcPr>
            <w:tcW w:w="5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437926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</w:t>
            </w:r>
          </w:p>
        </w:tc>
      </w:tr>
      <w:tr w:rsidR="00825BBE" w14:paraId="653AA929" w14:textId="77777777" w:rsidTr="00074EB1">
        <w:trPr>
          <w:trHeight w:val="298"/>
        </w:trPr>
        <w:tc>
          <w:tcPr>
            <w:tcW w:w="35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861D25" w14:textId="77777777" w:rsidR="00825BBE" w:rsidRPr="004520AF" w:rsidRDefault="00825BBE" w:rsidP="00074EB1">
            <w:pPr>
              <w:ind w:left="720"/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Mid-papillary level</w:t>
            </w:r>
          </w:p>
        </w:tc>
        <w:tc>
          <w:tcPr>
            <w:tcW w:w="5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18F34C" w14:textId="5CDE28A0" w:rsidR="00825BBE" w:rsidRPr="004520AF" w:rsidRDefault="00825BBE" w:rsidP="00825BBE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(FR &gt;55/sec)</w:t>
            </w:r>
          </w:p>
        </w:tc>
      </w:tr>
      <w:tr w:rsidR="00825BBE" w14:paraId="6153EEFE" w14:textId="77777777" w:rsidTr="00825BBE">
        <w:trPr>
          <w:trHeight w:val="584"/>
        </w:trPr>
        <w:tc>
          <w:tcPr>
            <w:tcW w:w="35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788228" w14:textId="77777777" w:rsidR="00825BBE" w:rsidRPr="004520AF" w:rsidRDefault="00825BBE" w:rsidP="00074EB1">
            <w:pPr>
              <w:ind w:left="720"/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MV level</w:t>
            </w:r>
          </w:p>
          <w:p w14:paraId="28260077" w14:textId="77777777" w:rsidR="00825BBE" w:rsidRPr="004520AF" w:rsidRDefault="00825BBE" w:rsidP="00074EB1">
            <w:pPr>
              <w:ind w:left="720"/>
              <w:rPr>
                <w:rFonts w:cs="Segoe UI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EC9717" w14:textId="2AD29351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</w:t>
            </w:r>
            <w:r w:rsidR="00E24681" w:rsidRPr="004520AF">
              <w:rPr>
                <w:rFonts w:cs="Segoe UI"/>
                <w:sz w:val="20"/>
                <w:szCs w:val="20"/>
                <w:lang w:val="en-GB"/>
              </w:rPr>
              <w:t xml:space="preserve"> (also focus on </w:t>
            </w:r>
            <w:r w:rsidR="00BC309B" w:rsidRPr="004520AF">
              <w:rPr>
                <w:rFonts w:cs="Segoe UI"/>
                <w:sz w:val="20"/>
                <w:szCs w:val="20"/>
                <w:lang w:val="en-GB"/>
              </w:rPr>
              <w:t xml:space="preserve">basal </w:t>
            </w:r>
            <w:r w:rsidR="00E24681" w:rsidRPr="004520AF">
              <w:rPr>
                <w:rFonts w:cs="Segoe UI"/>
                <w:sz w:val="20"/>
                <w:szCs w:val="20"/>
                <w:lang w:val="en-GB"/>
              </w:rPr>
              <w:t xml:space="preserve">RV, </w:t>
            </w:r>
            <w:r w:rsidR="00E24681" w:rsidRPr="004520AF">
              <w:rPr>
                <w:rFonts w:cs="Segoe UI"/>
                <w:b/>
                <w:sz w:val="20"/>
                <w:szCs w:val="20"/>
                <w:lang w:val="en-GB"/>
              </w:rPr>
              <w:t>figure 1B</w:t>
            </w:r>
            <w:r w:rsidR="00E24681" w:rsidRPr="004520AF">
              <w:rPr>
                <w:rFonts w:cs="Segoe UI"/>
                <w:sz w:val="20"/>
                <w:szCs w:val="20"/>
                <w:lang w:val="en-GB"/>
              </w:rPr>
              <w:t>)</w:t>
            </w:r>
          </w:p>
          <w:p w14:paraId="136D4099" w14:textId="1520670D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MV</w:t>
            </w:r>
          </w:p>
        </w:tc>
      </w:tr>
      <w:tr w:rsidR="00825BBE" w14:paraId="287D97F1" w14:textId="77777777" w:rsidTr="00825BBE">
        <w:trPr>
          <w:trHeight w:val="411"/>
        </w:trPr>
        <w:tc>
          <w:tcPr>
            <w:tcW w:w="35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047610" w14:textId="77777777" w:rsidR="00825BBE" w:rsidRPr="004520AF" w:rsidRDefault="00825BBE" w:rsidP="00074EB1">
            <w:pPr>
              <w:ind w:left="720"/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AV level</w:t>
            </w:r>
          </w:p>
        </w:tc>
        <w:tc>
          <w:tcPr>
            <w:tcW w:w="5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324452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</w:t>
            </w:r>
          </w:p>
          <w:p w14:paraId="5D739EAE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AV</w:t>
            </w:r>
          </w:p>
          <w:p w14:paraId="379B6F73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PV</w:t>
            </w:r>
            <w:r w:rsidRPr="004520AF">
              <w:rPr>
                <w:rFonts w:cs="Segoe UI"/>
                <w:sz w:val="20"/>
                <w:szCs w:val="20"/>
                <w:lang w:val="en-GB"/>
              </w:rPr>
              <w:br/>
              <w:t>PW RVOT</w:t>
            </w:r>
          </w:p>
          <w:p w14:paraId="3D8B21B1" w14:textId="1FECB78B" w:rsidR="00825BBE" w:rsidRPr="004520AF" w:rsidRDefault="004520AF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+ </w:t>
            </w:r>
            <w:r w:rsidR="00825BBE" w:rsidRPr="004520AF">
              <w:rPr>
                <w:rFonts w:cs="Segoe UI"/>
                <w:sz w:val="20"/>
                <w:szCs w:val="20"/>
                <w:lang w:val="en-GB"/>
              </w:rPr>
              <w:t>CW TV</w:t>
            </w:r>
          </w:p>
          <w:p w14:paraId="610F7162" w14:textId="1D985EF1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focused image of RVOT for measurement diameters</w:t>
            </w:r>
          </w:p>
        </w:tc>
      </w:tr>
      <w:tr w:rsidR="00825BBE" w14:paraId="7FF2DC92" w14:textId="77777777" w:rsidTr="00074EB1">
        <w:tc>
          <w:tcPr>
            <w:tcW w:w="3510" w:type="dxa"/>
          </w:tcPr>
          <w:p w14:paraId="753ABC22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4-chamber view</w:t>
            </w:r>
          </w:p>
        </w:tc>
        <w:tc>
          <w:tcPr>
            <w:tcW w:w="5529" w:type="dxa"/>
          </w:tcPr>
          <w:p w14:paraId="69505E68" w14:textId="4D38C5FD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LV/LA</w:t>
            </w:r>
            <w:r w:rsidRPr="004520AF">
              <w:rPr>
                <w:rFonts w:cs="Segoe UI"/>
                <w:sz w:val="20"/>
                <w:szCs w:val="20"/>
                <w:lang w:val="en-GB"/>
              </w:rPr>
              <w:br/>
              <w:t xml:space="preserve">2D LV focused view (FR &gt;55/sec), </w:t>
            </w:r>
            <w:r w:rsidRPr="004520AF">
              <w:rPr>
                <w:rFonts w:cs="Segoe UI"/>
                <w:b/>
                <w:sz w:val="20"/>
                <w:szCs w:val="20"/>
                <w:lang w:val="en-GB"/>
              </w:rPr>
              <w:t>(figure 2A)</w:t>
            </w:r>
          </w:p>
          <w:p w14:paraId="4B42B7F0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MV</w:t>
            </w:r>
            <w:r w:rsidRPr="004520AF">
              <w:rPr>
                <w:rFonts w:cs="Segoe UI"/>
                <w:sz w:val="20"/>
                <w:szCs w:val="20"/>
                <w:lang w:val="en-GB"/>
              </w:rPr>
              <w:br/>
              <w:t>PW MV inflow</w:t>
            </w:r>
          </w:p>
          <w:p w14:paraId="59974B33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TDI PW medial annulus</w:t>
            </w:r>
          </w:p>
          <w:p w14:paraId="1C2CDBA4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TDI PW lateral annulus</w:t>
            </w:r>
          </w:p>
        </w:tc>
      </w:tr>
      <w:tr w:rsidR="00825BBE" w14:paraId="4FEF7507" w14:textId="77777777" w:rsidTr="00074EB1">
        <w:tc>
          <w:tcPr>
            <w:tcW w:w="3510" w:type="dxa"/>
          </w:tcPr>
          <w:p w14:paraId="2304BD82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5-chamber view</w:t>
            </w:r>
          </w:p>
        </w:tc>
        <w:tc>
          <w:tcPr>
            <w:tcW w:w="5529" w:type="dxa"/>
          </w:tcPr>
          <w:p w14:paraId="07E6F06F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s-ES"/>
              </w:rPr>
            </w:pPr>
            <w:r w:rsidRPr="004520AF">
              <w:rPr>
                <w:rFonts w:cs="Segoe UI"/>
                <w:sz w:val="20"/>
                <w:szCs w:val="20"/>
                <w:lang w:val="es-ES"/>
              </w:rPr>
              <w:t>2D LV/LA</w:t>
            </w:r>
          </w:p>
          <w:p w14:paraId="41A27B63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s-ES"/>
              </w:rPr>
            </w:pPr>
            <w:r w:rsidRPr="004520AF">
              <w:rPr>
                <w:rFonts w:cs="Segoe UI"/>
                <w:sz w:val="20"/>
                <w:szCs w:val="20"/>
                <w:lang w:val="es-ES"/>
              </w:rPr>
              <w:t>Color Doppler AV</w:t>
            </w:r>
          </w:p>
          <w:p w14:paraId="11644D20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PW LVOT</w:t>
            </w:r>
            <w:r w:rsidRPr="004520AF">
              <w:rPr>
                <w:rFonts w:cs="Segoe UI"/>
                <w:sz w:val="20"/>
                <w:szCs w:val="20"/>
                <w:lang w:val="en-GB"/>
              </w:rPr>
              <w:br/>
              <w:t>CW AV</w:t>
            </w:r>
          </w:p>
        </w:tc>
      </w:tr>
      <w:tr w:rsidR="00825BBE" w14:paraId="00225BB2" w14:textId="77777777" w:rsidTr="00074EB1">
        <w:tc>
          <w:tcPr>
            <w:tcW w:w="3510" w:type="dxa"/>
          </w:tcPr>
          <w:p w14:paraId="3069746C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RV-focused apical 4 chamber</w:t>
            </w:r>
          </w:p>
        </w:tc>
        <w:tc>
          <w:tcPr>
            <w:tcW w:w="5529" w:type="dxa"/>
          </w:tcPr>
          <w:p w14:paraId="58A415C5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RV/RA</w:t>
            </w:r>
          </w:p>
          <w:p w14:paraId="29E40BCC" w14:textId="0EC7B78C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RV focused view (FR &gt;55/sec)</w:t>
            </w:r>
            <w:r w:rsidRPr="004520AF">
              <w:rPr>
                <w:rFonts w:cs="Segoe UI"/>
                <w:sz w:val="20"/>
                <w:szCs w:val="20"/>
                <w:lang w:val="en-GB"/>
              </w:rPr>
              <w:br/>
              <w:t xml:space="preserve">2D Narrow-angle, RV free wall (FR&gt;80/sec) </w:t>
            </w:r>
            <w:r w:rsidRPr="004520AF">
              <w:rPr>
                <w:rFonts w:cs="Segoe UI"/>
                <w:b/>
                <w:sz w:val="20"/>
                <w:szCs w:val="20"/>
                <w:lang w:val="en-GB"/>
              </w:rPr>
              <w:t>(figure 1C)</w:t>
            </w:r>
          </w:p>
          <w:p w14:paraId="2CA553CC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fr-FR"/>
              </w:rPr>
            </w:pPr>
            <w:r w:rsidRPr="004520AF">
              <w:rPr>
                <w:rFonts w:cs="Segoe UI"/>
                <w:sz w:val="20"/>
                <w:szCs w:val="20"/>
                <w:lang w:val="fr-FR"/>
              </w:rPr>
              <w:t xml:space="preserve">M-mode </w:t>
            </w:r>
            <w:proofErr w:type="spellStart"/>
            <w:r w:rsidRPr="004520AF">
              <w:rPr>
                <w:rFonts w:cs="Segoe UI"/>
                <w:sz w:val="20"/>
                <w:szCs w:val="20"/>
                <w:lang w:val="fr-FR"/>
              </w:rPr>
              <w:t>tricuspid</w:t>
            </w:r>
            <w:proofErr w:type="spellEnd"/>
            <w:r w:rsidRPr="004520AF">
              <w:rPr>
                <w:rFonts w:cs="Segoe UI"/>
                <w:sz w:val="20"/>
                <w:szCs w:val="20"/>
                <w:lang w:val="fr-FR"/>
              </w:rPr>
              <w:t xml:space="preserve"> annulus</w:t>
            </w:r>
            <w:r w:rsidRPr="004520AF">
              <w:rPr>
                <w:rFonts w:cs="Segoe UI"/>
                <w:sz w:val="20"/>
                <w:szCs w:val="20"/>
                <w:lang w:val="fr-FR"/>
              </w:rPr>
              <w:br/>
              <w:t xml:space="preserve">TDI PW </w:t>
            </w:r>
            <w:proofErr w:type="spellStart"/>
            <w:r w:rsidRPr="004520AF">
              <w:rPr>
                <w:rFonts w:cs="Segoe UI"/>
                <w:sz w:val="20"/>
                <w:szCs w:val="20"/>
                <w:lang w:val="fr-FR"/>
              </w:rPr>
              <w:t>tricuspid</w:t>
            </w:r>
            <w:proofErr w:type="spellEnd"/>
            <w:r w:rsidRPr="004520AF">
              <w:rPr>
                <w:rFonts w:cs="Segoe UI"/>
                <w:sz w:val="20"/>
                <w:szCs w:val="20"/>
                <w:lang w:val="fr-FR"/>
              </w:rPr>
              <w:t xml:space="preserve"> annulus</w:t>
            </w:r>
          </w:p>
          <w:p w14:paraId="72FA1C73" w14:textId="574A0F42" w:rsidR="00825BBE" w:rsidRPr="004520AF" w:rsidRDefault="004520AF" w:rsidP="004520AF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+ </w:t>
            </w:r>
            <w:r w:rsidR="00825BBE" w:rsidRPr="004520AF">
              <w:rPr>
                <w:rFonts w:cs="Segoe UI"/>
                <w:sz w:val="20"/>
                <w:szCs w:val="20"/>
                <w:lang w:val="en-GB"/>
              </w:rPr>
              <w:t>CW TV</w:t>
            </w:r>
          </w:p>
        </w:tc>
      </w:tr>
      <w:tr w:rsidR="00825BBE" w14:paraId="0319F21A" w14:textId="77777777" w:rsidTr="00074EB1">
        <w:tc>
          <w:tcPr>
            <w:tcW w:w="3510" w:type="dxa"/>
          </w:tcPr>
          <w:p w14:paraId="41246F24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2-chamber view</w:t>
            </w:r>
          </w:p>
        </w:tc>
        <w:tc>
          <w:tcPr>
            <w:tcW w:w="5529" w:type="dxa"/>
          </w:tcPr>
          <w:p w14:paraId="2DC889C1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LV/LA</w:t>
            </w:r>
          </w:p>
          <w:p w14:paraId="01597288" w14:textId="28B358BC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2D LV focused view (FR &gt;55/s), </w:t>
            </w:r>
            <w:r w:rsidRPr="004520AF">
              <w:rPr>
                <w:rFonts w:cs="Segoe UI"/>
                <w:b/>
                <w:sz w:val="20"/>
                <w:szCs w:val="20"/>
                <w:lang w:val="en-GB"/>
              </w:rPr>
              <w:t>(figure 2B)</w:t>
            </w:r>
          </w:p>
          <w:p w14:paraId="5F8B6E79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MV</w:t>
            </w:r>
          </w:p>
        </w:tc>
      </w:tr>
      <w:tr w:rsidR="00825BBE" w14:paraId="44C55E74" w14:textId="77777777" w:rsidTr="00074EB1">
        <w:tc>
          <w:tcPr>
            <w:tcW w:w="3510" w:type="dxa"/>
          </w:tcPr>
          <w:p w14:paraId="15697BBB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3-chamber view</w:t>
            </w:r>
          </w:p>
        </w:tc>
        <w:tc>
          <w:tcPr>
            <w:tcW w:w="5529" w:type="dxa"/>
          </w:tcPr>
          <w:p w14:paraId="0ABC75D4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 LV/LA</w:t>
            </w:r>
          </w:p>
          <w:p w14:paraId="7B00F5AB" w14:textId="40B4B4E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2D LV focused view (FR &gt;55/s), </w:t>
            </w:r>
            <w:r w:rsidRPr="004520AF">
              <w:rPr>
                <w:rFonts w:cs="Segoe UI"/>
                <w:b/>
                <w:sz w:val="20"/>
                <w:szCs w:val="20"/>
                <w:lang w:val="en-GB"/>
              </w:rPr>
              <w:t>(figure 2C)</w:t>
            </w:r>
          </w:p>
          <w:p w14:paraId="6EDD8F0A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4520AF">
              <w:rPr>
                <w:rFonts w:cs="Segoe UI"/>
                <w:sz w:val="20"/>
                <w:szCs w:val="20"/>
                <w:lang w:val="en-GB"/>
              </w:rPr>
              <w:t>Color</w:t>
            </w:r>
            <w:proofErr w:type="spellEnd"/>
            <w:r w:rsidRPr="004520AF">
              <w:rPr>
                <w:rFonts w:cs="Segoe UI"/>
                <w:sz w:val="20"/>
                <w:szCs w:val="20"/>
                <w:lang w:val="en-GB"/>
              </w:rPr>
              <w:t xml:space="preserve"> Doppler MV/AV</w:t>
            </w:r>
          </w:p>
        </w:tc>
      </w:tr>
      <w:tr w:rsidR="00825BBE" w14:paraId="0B52DC86" w14:textId="77777777" w:rsidTr="00074EB1">
        <w:tc>
          <w:tcPr>
            <w:tcW w:w="3510" w:type="dxa"/>
          </w:tcPr>
          <w:p w14:paraId="62C570AA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Apical 3D view</w:t>
            </w:r>
          </w:p>
        </w:tc>
        <w:tc>
          <w:tcPr>
            <w:tcW w:w="5529" w:type="dxa"/>
          </w:tcPr>
          <w:p w14:paraId="4B801282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LV focused (FR &gt;20)</w:t>
            </w:r>
          </w:p>
        </w:tc>
      </w:tr>
      <w:tr w:rsidR="00825BBE" w14:paraId="03F1380B" w14:textId="77777777" w:rsidTr="00074EB1">
        <w:tc>
          <w:tcPr>
            <w:tcW w:w="3510" w:type="dxa"/>
          </w:tcPr>
          <w:p w14:paraId="04E2A540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Subcostal 4-chamber view</w:t>
            </w:r>
          </w:p>
        </w:tc>
        <w:tc>
          <w:tcPr>
            <w:tcW w:w="5529" w:type="dxa"/>
          </w:tcPr>
          <w:p w14:paraId="05EA2DF1" w14:textId="26650D57" w:rsidR="00825BBE" w:rsidRPr="004520AF" w:rsidRDefault="00825BBE" w:rsidP="00825BBE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</w:t>
            </w:r>
          </w:p>
        </w:tc>
      </w:tr>
      <w:tr w:rsidR="00825BBE" w14:paraId="333C1BA8" w14:textId="77777777" w:rsidTr="00074EB1">
        <w:tc>
          <w:tcPr>
            <w:tcW w:w="3510" w:type="dxa"/>
          </w:tcPr>
          <w:p w14:paraId="57FFA808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Subcostal vena cava inferior</w:t>
            </w:r>
          </w:p>
        </w:tc>
        <w:tc>
          <w:tcPr>
            <w:tcW w:w="5529" w:type="dxa"/>
          </w:tcPr>
          <w:p w14:paraId="05DE10EE" w14:textId="77777777" w:rsidR="00825BBE" w:rsidRPr="004520AF" w:rsidRDefault="00825BBE" w:rsidP="00074EB1">
            <w:pPr>
              <w:rPr>
                <w:rFonts w:cs="Segoe UI"/>
                <w:sz w:val="20"/>
                <w:szCs w:val="20"/>
                <w:lang w:val="en-GB"/>
              </w:rPr>
            </w:pPr>
            <w:r w:rsidRPr="004520AF">
              <w:rPr>
                <w:rFonts w:cs="Segoe UI"/>
                <w:sz w:val="20"/>
                <w:szCs w:val="20"/>
                <w:lang w:val="en-GB"/>
              </w:rPr>
              <w:t>2D/M-mode (with sniff)</w:t>
            </w:r>
          </w:p>
        </w:tc>
      </w:tr>
    </w:tbl>
    <w:p w14:paraId="0A8CDF21" w14:textId="5770C8BC" w:rsidR="00825BBE" w:rsidRPr="004520AF" w:rsidRDefault="00825BBE" w:rsidP="00825BBE">
      <w:pPr>
        <w:rPr>
          <w:lang w:val="en-GB"/>
        </w:rPr>
      </w:pPr>
      <w:r w:rsidRPr="004520AF">
        <w:rPr>
          <w:lang w:val="en-GB"/>
        </w:rPr>
        <w:lastRenderedPageBreak/>
        <w:t xml:space="preserve">Figure 1: RV-specific </w:t>
      </w:r>
      <w:r w:rsidR="00BC309B" w:rsidRPr="004520AF">
        <w:rPr>
          <w:lang w:val="en-GB"/>
        </w:rPr>
        <w:t xml:space="preserve">echo </w:t>
      </w:r>
      <w:r w:rsidRPr="004520AF">
        <w:rPr>
          <w:lang w:val="en-GB"/>
        </w:rPr>
        <w:t>views. A = Parasternal RV-inflow view; B = RV-focused short-axis view; C = RV-focused apical 4-chamber view.</w:t>
      </w:r>
    </w:p>
    <w:p w14:paraId="5958AAC9" w14:textId="77777777" w:rsidR="00825BBE" w:rsidRPr="004520AF" w:rsidRDefault="00825BBE" w:rsidP="00825BBE">
      <w:pPr>
        <w:rPr>
          <w:sz w:val="24"/>
          <w:lang w:val="en-GB"/>
        </w:rPr>
      </w:pPr>
      <w:r w:rsidRPr="004520AF">
        <w:rPr>
          <w:rFonts w:asciiTheme="minorHAnsi" w:hAnsiTheme="minorHAnsi"/>
          <w:noProof/>
          <w:sz w:val="24"/>
          <w:lang w:val="nl-NL" w:eastAsia="nl-NL"/>
        </w:rPr>
        <w:drawing>
          <wp:inline distT="0" distB="0" distL="0" distR="0" wp14:anchorId="7D57CD49" wp14:editId="115162F5">
            <wp:extent cx="4490114" cy="1649576"/>
            <wp:effectExtent l="0" t="0" r="5715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2.JPG"/>
                    <pic:cNvPicPr/>
                  </pic:nvPicPr>
                  <pic:blipFill rotWithShape="1">
                    <a:blip r:embed="rId8"/>
                    <a:srcRect t="11837" b="22857"/>
                    <a:stretch/>
                  </pic:blipFill>
                  <pic:spPr bwMode="auto">
                    <a:xfrm>
                      <a:off x="0" y="0"/>
                      <a:ext cx="4497493" cy="1652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91344" w14:textId="49C7CF16" w:rsidR="00825BBE" w:rsidRPr="004520AF" w:rsidRDefault="00825BBE" w:rsidP="00825BBE">
      <w:pPr>
        <w:rPr>
          <w:lang w:val="en-GB"/>
        </w:rPr>
      </w:pPr>
      <w:r w:rsidRPr="004520AF">
        <w:rPr>
          <w:lang w:val="en-GB"/>
        </w:rPr>
        <w:t xml:space="preserve">Figure 2: LV-focused </w:t>
      </w:r>
      <w:r w:rsidR="00BC309B" w:rsidRPr="004520AF">
        <w:rPr>
          <w:lang w:val="en-GB"/>
        </w:rPr>
        <w:t xml:space="preserve">echo </w:t>
      </w:r>
      <w:r w:rsidRPr="004520AF">
        <w:rPr>
          <w:lang w:val="en-GB"/>
        </w:rPr>
        <w:t>views. A = apical 4-chamber view; B = Apical 2-chamber view; C= Apical 3-chamber view.</w:t>
      </w:r>
    </w:p>
    <w:p w14:paraId="68F4CC4D" w14:textId="77777777" w:rsidR="00825BBE" w:rsidRPr="00EE336D" w:rsidRDefault="00825BBE" w:rsidP="00825BBE">
      <w:pPr>
        <w:rPr>
          <w:lang w:val="en-GB"/>
        </w:rPr>
      </w:pPr>
      <w:r>
        <w:rPr>
          <w:noProof/>
          <w:lang w:val="nl-NL" w:eastAsia="nl-NL"/>
        </w:rPr>
        <w:drawing>
          <wp:inline distT="0" distB="0" distL="0" distR="0" wp14:anchorId="124E9372" wp14:editId="13DBD283">
            <wp:extent cx="4490114" cy="1814531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1.JPG"/>
                    <pic:cNvPicPr/>
                  </pic:nvPicPr>
                  <pic:blipFill rotWithShape="1">
                    <a:blip r:embed="rId9"/>
                    <a:srcRect t="14286" b="13877"/>
                    <a:stretch/>
                  </pic:blipFill>
                  <pic:spPr bwMode="auto">
                    <a:xfrm>
                      <a:off x="0" y="0"/>
                      <a:ext cx="4491108" cy="1814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711B2" w14:textId="11FC8354" w:rsidR="00E24681" w:rsidRDefault="00E24681">
      <w:pPr>
        <w:rPr>
          <w:rFonts w:eastAsiaTheme="majorEastAsia" w:cs="Segoe UI"/>
          <w:b/>
          <w:bCs/>
          <w:color w:val="4F81BD" w:themeColor="accent1"/>
          <w:sz w:val="24"/>
          <w:szCs w:val="24"/>
          <w:u w:color="000000"/>
          <w:bdr w:val="nil"/>
          <w:lang w:val="en-GB" w:eastAsia="nl-NL"/>
        </w:rPr>
      </w:pPr>
    </w:p>
    <w:sectPr w:rsidR="00E24681" w:rsidSect="00AA65D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E4FD" w14:textId="77777777" w:rsidR="00192F9C" w:rsidRDefault="00192F9C" w:rsidP="0024188E">
      <w:pPr>
        <w:spacing w:after="0" w:line="240" w:lineRule="auto"/>
      </w:pPr>
      <w:r>
        <w:separator/>
      </w:r>
    </w:p>
  </w:endnote>
  <w:endnote w:type="continuationSeparator" w:id="0">
    <w:p w14:paraId="360A184D" w14:textId="77777777" w:rsidR="00192F9C" w:rsidRDefault="00192F9C" w:rsidP="0024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7334" w14:textId="38110EDC" w:rsidR="00192F9C" w:rsidRPr="001B7D89" w:rsidRDefault="00192F9C" w:rsidP="00074EB1">
    <w:pPr>
      <w:pStyle w:val="Voettekst"/>
      <w:tabs>
        <w:tab w:val="clear" w:pos="9072"/>
        <w:tab w:val="right" w:pos="9046"/>
      </w:tabs>
      <w:rPr>
        <w:rFonts w:ascii="Segoe UI" w:hAnsi="Segoe UI" w:cs="Segoe UI"/>
      </w:rPr>
    </w:pPr>
    <w:r w:rsidRPr="001B7D89">
      <w:rPr>
        <w:rFonts w:ascii="Segoe UI" w:hAnsi="Segoe UI" w:cs="Segoe UI"/>
      </w:rPr>
      <w:tab/>
    </w:r>
    <w:r w:rsidRPr="001B7D89">
      <w:rPr>
        <w:rFonts w:ascii="Segoe UI" w:hAnsi="Segoe UI" w:cs="Segoe UI"/>
      </w:rPr>
      <w:tab/>
    </w:r>
    <w:r w:rsidRPr="001B7D89">
      <w:rPr>
        <w:rFonts w:ascii="Segoe UI" w:hAnsi="Segoe UI" w:cs="Segoe UI"/>
        <w:sz w:val="20"/>
        <w:szCs w:val="20"/>
      </w:rPr>
      <w:fldChar w:fldCharType="begin"/>
    </w:r>
    <w:r w:rsidRPr="001B7D89">
      <w:rPr>
        <w:rFonts w:ascii="Segoe UI" w:hAnsi="Segoe UI" w:cs="Segoe UI"/>
        <w:sz w:val="20"/>
        <w:szCs w:val="20"/>
      </w:rPr>
      <w:instrText xml:space="preserve"> PAGE </w:instrText>
    </w:r>
    <w:r w:rsidRPr="001B7D89">
      <w:rPr>
        <w:rFonts w:ascii="Segoe UI" w:hAnsi="Segoe UI" w:cs="Segoe UI"/>
        <w:sz w:val="20"/>
        <w:szCs w:val="20"/>
      </w:rPr>
      <w:fldChar w:fldCharType="separate"/>
    </w:r>
    <w:r w:rsidR="00F86C7B">
      <w:rPr>
        <w:rFonts w:ascii="Segoe UI" w:hAnsi="Segoe UI" w:cs="Segoe UI"/>
        <w:noProof/>
        <w:sz w:val="20"/>
        <w:szCs w:val="20"/>
      </w:rPr>
      <w:t>2</w:t>
    </w:r>
    <w:r w:rsidRPr="001B7D89">
      <w:rPr>
        <w:rFonts w:ascii="Segoe UI" w:hAnsi="Segoe UI" w:cs="Segoe UI"/>
        <w:sz w:val="20"/>
        <w:szCs w:val="20"/>
      </w:rPr>
      <w:fldChar w:fldCharType="end"/>
    </w:r>
  </w:p>
  <w:p w14:paraId="5662655C" w14:textId="77777777" w:rsidR="00192F9C" w:rsidRDefault="00192F9C">
    <w:pPr>
      <w:pStyle w:val="Voetteks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18D8" w14:textId="77777777" w:rsidR="00192F9C" w:rsidRDefault="00192F9C" w:rsidP="0024188E">
      <w:pPr>
        <w:spacing w:after="0" w:line="240" w:lineRule="auto"/>
      </w:pPr>
      <w:r>
        <w:separator/>
      </w:r>
    </w:p>
  </w:footnote>
  <w:footnote w:type="continuationSeparator" w:id="0">
    <w:p w14:paraId="4588A797" w14:textId="77777777" w:rsidR="00192F9C" w:rsidRDefault="00192F9C" w:rsidP="0024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FC08" w14:textId="02697061" w:rsidR="00192F9C" w:rsidRPr="0016297F" w:rsidRDefault="00AA65D0" w:rsidP="0016297F">
    <w:pPr>
      <w:pStyle w:val="Koptekst"/>
      <w:jc w:val="right"/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208EA05" wp14:editId="042A45A9">
          <wp:simplePos x="0" y="0"/>
          <wp:positionH relativeFrom="margin">
            <wp:posOffset>0</wp:posOffset>
          </wp:positionH>
          <wp:positionV relativeFrom="margin">
            <wp:posOffset>-658487</wp:posOffset>
          </wp:positionV>
          <wp:extent cx="1166495" cy="509270"/>
          <wp:effectExtent l="0" t="0" r="0" b="508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F9C" w:rsidRPr="0016297F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>D</w:t>
    </w:r>
    <w:r w:rsidR="00192F9C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>iagnostic work-up</w:t>
    </w:r>
    <w:r w:rsidR="00F71A3D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 xml:space="preserve"> and follow-up </w:t>
    </w:r>
    <w:r w:rsidR="008F654C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>of</w:t>
    </w:r>
    <w:r w:rsidR="00192F9C" w:rsidRPr="0016297F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 xml:space="preserve"> PLN mutation carriers</w:t>
    </w:r>
  </w:p>
  <w:p w14:paraId="686D400D" w14:textId="76D0C57B" w:rsidR="00192F9C" w:rsidRPr="0016297F" w:rsidRDefault="00192F9C" w:rsidP="0016297F">
    <w:pPr>
      <w:pStyle w:val="Koptekst"/>
      <w:jc w:val="right"/>
      <w:rPr>
        <w:color w:val="808080" w:themeColor="background1" w:themeShade="80"/>
        <w:lang w:val="en-GB"/>
      </w:rPr>
    </w:pPr>
    <w:r w:rsidRPr="0016297F">
      <w:rPr>
        <w:rFonts w:ascii="Segoe UI" w:hAnsi="Segoe UI" w:cs="Segoe UI"/>
        <w:bCs/>
        <w:color w:val="808080" w:themeColor="background1" w:themeShade="80"/>
        <w:sz w:val="16"/>
        <w:szCs w:val="16"/>
        <w:u w:color="4F81BD"/>
        <w:lang w:val="en-GB"/>
      </w:rPr>
      <w:t>Version 1.0 (21-5-2019)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95C"/>
    <w:multiLevelType w:val="hybridMultilevel"/>
    <w:tmpl w:val="99060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7E19"/>
    <w:multiLevelType w:val="hybridMultilevel"/>
    <w:tmpl w:val="D7A8E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256"/>
    <w:multiLevelType w:val="hybridMultilevel"/>
    <w:tmpl w:val="4470F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CBF"/>
    <w:multiLevelType w:val="hybridMultilevel"/>
    <w:tmpl w:val="3C14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0B2"/>
    <w:multiLevelType w:val="hybridMultilevel"/>
    <w:tmpl w:val="93E41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965"/>
    <w:multiLevelType w:val="hybridMultilevel"/>
    <w:tmpl w:val="A4FA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15A"/>
    <w:multiLevelType w:val="hybridMultilevel"/>
    <w:tmpl w:val="AF328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19AF"/>
    <w:multiLevelType w:val="hybridMultilevel"/>
    <w:tmpl w:val="F9B0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31A3"/>
    <w:multiLevelType w:val="hybridMultilevel"/>
    <w:tmpl w:val="06345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0BC8"/>
    <w:multiLevelType w:val="hybridMultilevel"/>
    <w:tmpl w:val="4E5C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B9C"/>
    <w:multiLevelType w:val="hybridMultilevel"/>
    <w:tmpl w:val="3E6A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2307D"/>
    <w:multiLevelType w:val="hybridMultilevel"/>
    <w:tmpl w:val="B310DE6C"/>
    <w:lvl w:ilvl="0" w:tplc="EF30B9D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164D"/>
    <w:multiLevelType w:val="hybridMultilevel"/>
    <w:tmpl w:val="6AC44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F6004"/>
    <w:multiLevelType w:val="hybridMultilevel"/>
    <w:tmpl w:val="D73EDD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87E80"/>
    <w:multiLevelType w:val="hybridMultilevel"/>
    <w:tmpl w:val="700C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6236"/>
    <w:multiLevelType w:val="hybridMultilevel"/>
    <w:tmpl w:val="1E22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A0211"/>
    <w:multiLevelType w:val="hybridMultilevel"/>
    <w:tmpl w:val="F61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26B9"/>
    <w:multiLevelType w:val="hybridMultilevel"/>
    <w:tmpl w:val="70D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F33"/>
    <w:multiLevelType w:val="hybridMultilevel"/>
    <w:tmpl w:val="A7A4A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D4CF5"/>
    <w:multiLevelType w:val="hybridMultilevel"/>
    <w:tmpl w:val="175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D73B5"/>
    <w:multiLevelType w:val="hybridMultilevel"/>
    <w:tmpl w:val="73B0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B2389"/>
    <w:multiLevelType w:val="hybridMultilevel"/>
    <w:tmpl w:val="F768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F31DB"/>
    <w:multiLevelType w:val="hybridMultilevel"/>
    <w:tmpl w:val="B08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139F0"/>
    <w:multiLevelType w:val="hybridMultilevel"/>
    <w:tmpl w:val="D8FA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33072"/>
    <w:multiLevelType w:val="hybridMultilevel"/>
    <w:tmpl w:val="63F2B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53404"/>
    <w:multiLevelType w:val="hybridMultilevel"/>
    <w:tmpl w:val="87B6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71EE6"/>
    <w:multiLevelType w:val="hybridMultilevel"/>
    <w:tmpl w:val="36247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3984"/>
    <w:multiLevelType w:val="hybridMultilevel"/>
    <w:tmpl w:val="6B14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3690"/>
    <w:multiLevelType w:val="hybridMultilevel"/>
    <w:tmpl w:val="DA80F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1059D"/>
    <w:multiLevelType w:val="hybridMultilevel"/>
    <w:tmpl w:val="0970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B5A81"/>
    <w:multiLevelType w:val="hybridMultilevel"/>
    <w:tmpl w:val="8DF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E0733"/>
    <w:multiLevelType w:val="hybridMultilevel"/>
    <w:tmpl w:val="82AA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14A7E"/>
    <w:multiLevelType w:val="hybridMultilevel"/>
    <w:tmpl w:val="F0F8E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6275E"/>
    <w:multiLevelType w:val="hybridMultilevel"/>
    <w:tmpl w:val="E3245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D2C26"/>
    <w:multiLevelType w:val="hybridMultilevel"/>
    <w:tmpl w:val="DE4EE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4780B"/>
    <w:multiLevelType w:val="hybridMultilevel"/>
    <w:tmpl w:val="1BD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52C4"/>
    <w:multiLevelType w:val="hybridMultilevel"/>
    <w:tmpl w:val="A2F4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3173B"/>
    <w:multiLevelType w:val="hybridMultilevel"/>
    <w:tmpl w:val="E74E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A725D"/>
    <w:multiLevelType w:val="hybridMultilevel"/>
    <w:tmpl w:val="5348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183F"/>
    <w:multiLevelType w:val="hybridMultilevel"/>
    <w:tmpl w:val="BC943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F4AEB"/>
    <w:multiLevelType w:val="hybridMultilevel"/>
    <w:tmpl w:val="A64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62017"/>
    <w:multiLevelType w:val="hybridMultilevel"/>
    <w:tmpl w:val="7E8AF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C77EE"/>
    <w:multiLevelType w:val="hybridMultilevel"/>
    <w:tmpl w:val="6A44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A0A59"/>
    <w:multiLevelType w:val="hybridMultilevel"/>
    <w:tmpl w:val="73527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790CB7"/>
    <w:multiLevelType w:val="hybridMultilevel"/>
    <w:tmpl w:val="0BB8D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8177B"/>
    <w:multiLevelType w:val="hybridMultilevel"/>
    <w:tmpl w:val="EE000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25EBB"/>
    <w:multiLevelType w:val="hybridMultilevel"/>
    <w:tmpl w:val="DB7C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B2B6F"/>
    <w:multiLevelType w:val="hybridMultilevel"/>
    <w:tmpl w:val="6D1E8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A259E"/>
    <w:multiLevelType w:val="hybridMultilevel"/>
    <w:tmpl w:val="B95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90300"/>
    <w:multiLevelType w:val="hybridMultilevel"/>
    <w:tmpl w:val="AF04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0C7FF7"/>
    <w:multiLevelType w:val="hybridMultilevel"/>
    <w:tmpl w:val="BD7E3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2"/>
  </w:num>
  <w:num w:numId="4">
    <w:abstractNumId w:val="19"/>
  </w:num>
  <w:num w:numId="5">
    <w:abstractNumId w:val="25"/>
  </w:num>
  <w:num w:numId="6">
    <w:abstractNumId w:val="42"/>
  </w:num>
  <w:num w:numId="7">
    <w:abstractNumId w:val="50"/>
  </w:num>
  <w:num w:numId="8">
    <w:abstractNumId w:val="2"/>
  </w:num>
  <w:num w:numId="9">
    <w:abstractNumId w:val="6"/>
  </w:num>
  <w:num w:numId="10">
    <w:abstractNumId w:val="24"/>
  </w:num>
  <w:num w:numId="11">
    <w:abstractNumId w:val="18"/>
  </w:num>
  <w:num w:numId="12">
    <w:abstractNumId w:val="28"/>
  </w:num>
  <w:num w:numId="13">
    <w:abstractNumId w:val="12"/>
  </w:num>
  <w:num w:numId="14">
    <w:abstractNumId w:val="26"/>
  </w:num>
  <w:num w:numId="15">
    <w:abstractNumId w:val="4"/>
  </w:num>
  <w:num w:numId="16">
    <w:abstractNumId w:val="41"/>
  </w:num>
  <w:num w:numId="17">
    <w:abstractNumId w:val="32"/>
  </w:num>
  <w:num w:numId="18">
    <w:abstractNumId w:val="43"/>
  </w:num>
  <w:num w:numId="19">
    <w:abstractNumId w:val="1"/>
  </w:num>
  <w:num w:numId="20">
    <w:abstractNumId w:val="33"/>
  </w:num>
  <w:num w:numId="21">
    <w:abstractNumId w:val="44"/>
  </w:num>
  <w:num w:numId="22">
    <w:abstractNumId w:val="8"/>
  </w:num>
  <w:num w:numId="23">
    <w:abstractNumId w:val="34"/>
  </w:num>
  <w:num w:numId="24">
    <w:abstractNumId w:val="45"/>
  </w:num>
  <w:num w:numId="25">
    <w:abstractNumId w:val="47"/>
  </w:num>
  <w:num w:numId="26">
    <w:abstractNumId w:val="21"/>
  </w:num>
  <w:num w:numId="27">
    <w:abstractNumId w:val="20"/>
  </w:num>
  <w:num w:numId="28">
    <w:abstractNumId w:val="16"/>
  </w:num>
  <w:num w:numId="29">
    <w:abstractNumId w:val="49"/>
  </w:num>
  <w:num w:numId="30">
    <w:abstractNumId w:val="35"/>
  </w:num>
  <w:num w:numId="31">
    <w:abstractNumId w:val="40"/>
  </w:num>
  <w:num w:numId="32">
    <w:abstractNumId w:val="46"/>
  </w:num>
  <w:num w:numId="33">
    <w:abstractNumId w:val="37"/>
  </w:num>
  <w:num w:numId="34">
    <w:abstractNumId w:val="23"/>
  </w:num>
  <w:num w:numId="35">
    <w:abstractNumId w:val="17"/>
  </w:num>
  <w:num w:numId="36">
    <w:abstractNumId w:val="36"/>
  </w:num>
  <w:num w:numId="37">
    <w:abstractNumId w:val="15"/>
  </w:num>
  <w:num w:numId="38">
    <w:abstractNumId w:val="3"/>
  </w:num>
  <w:num w:numId="39">
    <w:abstractNumId w:val="27"/>
  </w:num>
  <w:num w:numId="40">
    <w:abstractNumId w:val="38"/>
  </w:num>
  <w:num w:numId="41">
    <w:abstractNumId w:val="7"/>
  </w:num>
  <w:num w:numId="42">
    <w:abstractNumId w:val="30"/>
  </w:num>
  <w:num w:numId="43">
    <w:abstractNumId w:val="29"/>
  </w:num>
  <w:num w:numId="44">
    <w:abstractNumId w:val="48"/>
  </w:num>
  <w:num w:numId="45">
    <w:abstractNumId w:val="9"/>
  </w:num>
  <w:num w:numId="46">
    <w:abstractNumId w:val="14"/>
  </w:num>
  <w:num w:numId="47">
    <w:abstractNumId w:val="5"/>
  </w:num>
  <w:num w:numId="48">
    <w:abstractNumId w:val="10"/>
  </w:num>
  <w:num w:numId="49">
    <w:abstractNumId w:val="0"/>
  </w:num>
  <w:num w:numId="50">
    <w:abstractNumId w:val="39"/>
  </w:num>
  <w:num w:numId="51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88E"/>
    <w:rsid w:val="00017A28"/>
    <w:rsid w:val="00074EB1"/>
    <w:rsid w:val="000A338F"/>
    <w:rsid w:val="000B2699"/>
    <w:rsid w:val="001073F1"/>
    <w:rsid w:val="0011634C"/>
    <w:rsid w:val="0012313A"/>
    <w:rsid w:val="00125A3D"/>
    <w:rsid w:val="001414F4"/>
    <w:rsid w:val="001503A9"/>
    <w:rsid w:val="0016297F"/>
    <w:rsid w:val="00173BC4"/>
    <w:rsid w:val="00192F9C"/>
    <w:rsid w:val="0024188E"/>
    <w:rsid w:val="0025435A"/>
    <w:rsid w:val="0025529F"/>
    <w:rsid w:val="002716BF"/>
    <w:rsid w:val="00281118"/>
    <w:rsid w:val="002D3C0C"/>
    <w:rsid w:val="00325755"/>
    <w:rsid w:val="003D0125"/>
    <w:rsid w:val="00412C7A"/>
    <w:rsid w:val="00450CB1"/>
    <w:rsid w:val="004520AF"/>
    <w:rsid w:val="00455DC5"/>
    <w:rsid w:val="004B627A"/>
    <w:rsid w:val="00532B3F"/>
    <w:rsid w:val="005A140A"/>
    <w:rsid w:val="005F554B"/>
    <w:rsid w:val="006745E1"/>
    <w:rsid w:val="006A6572"/>
    <w:rsid w:val="006E4338"/>
    <w:rsid w:val="006F0038"/>
    <w:rsid w:val="006F72E2"/>
    <w:rsid w:val="00716D51"/>
    <w:rsid w:val="00770D31"/>
    <w:rsid w:val="00773422"/>
    <w:rsid w:val="008006E5"/>
    <w:rsid w:val="0080294E"/>
    <w:rsid w:val="00825BBE"/>
    <w:rsid w:val="008C58B2"/>
    <w:rsid w:val="008F654C"/>
    <w:rsid w:val="00964514"/>
    <w:rsid w:val="00993E23"/>
    <w:rsid w:val="009B7121"/>
    <w:rsid w:val="00A31FC3"/>
    <w:rsid w:val="00A57800"/>
    <w:rsid w:val="00A87B5B"/>
    <w:rsid w:val="00AA65D0"/>
    <w:rsid w:val="00AF2818"/>
    <w:rsid w:val="00B0534B"/>
    <w:rsid w:val="00B55A9A"/>
    <w:rsid w:val="00B6234D"/>
    <w:rsid w:val="00BC309B"/>
    <w:rsid w:val="00BE0621"/>
    <w:rsid w:val="00BE3A03"/>
    <w:rsid w:val="00C02E04"/>
    <w:rsid w:val="00C41428"/>
    <w:rsid w:val="00CA1684"/>
    <w:rsid w:val="00CE5217"/>
    <w:rsid w:val="00D54A00"/>
    <w:rsid w:val="00D916B9"/>
    <w:rsid w:val="00DB6E51"/>
    <w:rsid w:val="00E11D37"/>
    <w:rsid w:val="00E24681"/>
    <w:rsid w:val="00F55B4F"/>
    <w:rsid w:val="00F71A3D"/>
    <w:rsid w:val="00F86C7B"/>
    <w:rsid w:val="00F94174"/>
    <w:rsid w:val="00FB5955"/>
    <w:rsid w:val="00FF72F1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010037"/>
  <w15:docId w15:val="{0B5D4725-9CEC-45D6-AC93-3B6BD0A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18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18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1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41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val="nl-NL" w:eastAsia="nl-NL"/>
    </w:rPr>
  </w:style>
  <w:style w:type="character" w:styleId="Hyperlink">
    <w:name w:val="Hyperlink"/>
    <w:uiPriority w:val="99"/>
    <w:rsid w:val="0024188E"/>
    <w:rPr>
      <w:u w:val="single"/>
    </w:rPr>
  </w:style>
  <w:style w:type="table" w:customStyle="1" w:styleId="TableNormal1">
    <w:name w:val="Table Normal1"/>
    <w:rsid w:val="002418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rsid w:val="002418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24188E"/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Voettekst">
    <w:name w:val="footer"/>
    <w:link w:val="VoettekstChar"/>
    <w:uiPriority w:val="99"/>
    <w:rsid w:val="002418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188E"/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Lijstalinea">
    <w:name w:val="List Paragraph"/>
    <w:uiPriority w:val="34"/>
    <w:qFormat/>
    <w:rsid w:val="002418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Geenafstand">
    <w:name w:val="No Spacing"/>
    <w:uiPriority w:val="1"/>
    <w:qFormat/>
    <w:rsid w:val="002418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4188E"/>
    <w:pPr>
      <w:pBdr>
        <w:top w:val="nil"/>
        <w:left w:val="nil"/>
        <w:bottom w:val="single" w:sz="8" w:space="4" w:color="4F81BD" w:themeColor="accent1"/>
        <w:right w:val="nil"/>
        <w:between w:val="nil"/>
        <w:bar w:val="nil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41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val="nl-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188E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  <w:bdr w:val="nil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  <w:bdr w:val="nil"/>
      <w:lang w:val="nl-NL" w:eastAsia="nl-NL"/>
    </w:rPr>
  </w:style>
  <w:style w:type="table" w:styleId="Lichtelijst-accent1">
    <w:name w:val="Light List Accent 1"/>
    <w:basedOn w:val="Standaardtabel"/>
    <w:uiPriority w:val="61"/>
    <w:rsid w:val="002418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l-NL" w:eastAsia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41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</w:rPr>
  </w:style>
  <w:style w:type="paragraph" w:styleId="Inhopg1">
    <w:name w:val="toc 1"/>
    <w:basedOn w:val="Standaard"/>
    <w:next w:val="Standaard"/>
    <w:autoRedefine/>
    <w:uiPriority w:val="39"/>
    <w:unhideWhenUsed/>
    <w:rsid w:val="0024188E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24188E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20"/>
    </w:pPr>
    <w:rPr>
      <w:rFonts w:ascii="Calibri" w:eastAsia="Calibri" w:hAnsi="Calibri" w:cs="Calibri"/>
      <w:color w:val="000000"/>
      <w:u w:color="000000"/>
      <w:bdr w:val="nil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88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DB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1231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414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4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4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4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4F4"/>
    <w:rPr>
      <w:b/>
      <w:bCs/>
      <w:sz w:val="20"/>
      <w:szCs w:val="20"/>
    </w:rPr>
  </w:style>
  <w:style w:type="paragraph" w:customStyle="1" w:styleId="Default">
    <w:name w:val="Default"/>
    <w:rsid w:val="00825B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nl-NL"/>
    </w:rPr>
  </w:style>
  <w:style w:type="paragraph" w:styleId="Normaalweb">
    <w:name w:val="Normal (Web)"/>
    <w:basedOn w:val="Standaard"/>
    <w:uiPriority w:val="99"/>
    <w:unhideWhenUsed/>
    <w:rsid w:val="0082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82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0E1E-4342-467F-8FDA-BAFB5DCB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Taha-2, K.</dc:creator>
  <cp:lastModifiedBy>Eelco Soeteman</cp:lastModifiedBy>
  <cp:revision>4</cp:revision>
  <dcterms:created xsi:type="dcterms:W3CDTF">2019-08-09T07:50:00Z</dcterms:created>
  <dcterms:modified xsi:type="dcterms:W3CDTF">2019-08-09T14:01:00Z</dcterms:modified>
</cp:coreProperties>
</file>